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101" w:rsidRDefault="00DC7101" w:rsidP="009F123F">
      <w:pPr>
        <w:spacing w:line="480" w:lineRule="auto"/>
        <w:jc w:val="center"/>
        <w:rPr>
          <w:rFonts w:cs="Times New Roman"/>
          <w:b/>
          <w:szCs w:val="24"/>
        </w:rPr>
      </w:pPr>
    </w:p>
    <w:p w:rsidR="00DC7101" w:rsidRDefault="00DC7101" w:rsidP="009F123F">
      <w:pPr>
        <w:spacing w:line="480" w:lineRule="auto"/>
        <w:jc w:val="center"/>
        <w:rPr>
          <w:rFonts w:cs="Times New Roman"/>
          <w:b/>
          <w:szCs w:val="24"/>
        </w:rPr>
      </w:pPr>
    </w:p>
    <w:p w:rsidR="00DC7101" w:rsidRDefault="00DC7101" w:rsidP="009F123F">
      <w:pPr>
        <w:spacing w:line="480" w:lineRule="auto"/>
        <w:jc w:val="center"/>
        <w:rPr>
          <w:rFonts w:cs="Times New Roman"/>
          <w:b/>
          <w:szCs w:val="24"/>
        </w:rPr>
      </w:pPr>
    </w:p>
    <w:p w:rsidR="00DC7101" w:rsidRDefault="00DC7101" w:rsidP="009F123F">
      <w:pPr>
        <w:spacing w:line="480" w:lineRule="auto"/>
        <w:jc w:val="center"/>
        <w:rPr>
          <w:rFonts w:cs="Times New Roman"/>
          <w:b/>
          <w:szCs w:val="24"/>
        </w:rPr>
      </w:pPr>
    </w:p>
    <w:p w:rsidR="00043CB1" w:rsidRPr="00B22946" w:rsidRDefault="007740C2" w:rsidP="009F123F">
      <w:pPr>
        <w:spacing w:line="480" w:lineRule="auto"/>
        <w:jc w:val="center"/>
        <w:rPr>
          <w:rFonts w:cs="Times New Roman"/>
          <w:bCs/>
          <w:szCs w:val="24"/>
        </w:rPr>
      </w:pPr>
      <w:r w:rsidRPr="00B22946">
        <w:rPr>
          <w:rFonts w:cs="Times New Roman"/>
          <w:b/>
          <w:szCs w:val="24"/>
        </w:rPr>
        <w:t>Study of</w:t>
      </w:r>
      <w:r w:rsidR="00DC7101">
        <w:rPr>
          <w:rFonts w:cs="Times New Roman"/>
          <w:b/>
          <w:szCs w:val="24"/>
        </w:rPr>
        <w:t xml:space="preserve"> Medication History A</w:t>
      </w:r>
      <w:r w:rsidR="00043CB1" w:rsidRPr="00B22946">
        <w:rPr>
          <w:rFonts w:cs="Times New Roman"/>
          <w:b/>
          <w:szCs w:val="24"/>
        </w:rPr>
        <w:t>ccuracy</w:t>
      </w:r>
    </w:p>
    <w:p w:rsidR="007740C2" w:rsidRPr="00B22946" w:rsidRDefault="009F123F" w:rsidP="009F123F">
      <w:pPr>
        <w:spacing w:line="480" w:lineRule="auto"/>
        <w:jc w:val="center"/>
        <w:rPr>
          <w:rFonts w:cs="Times New Roman"/>
          <w:bCs/>
          <w:szCs w:val="24"/>
        </w:rPr>
      </w:pPr>
      <w:r>
        <w:rPr>
          <w:rFonts w:cs="Times New Roman"/>
          <w:bCs/>
          <w:szCs w:val="24"/>
        </w:rPr>
        <w:t xml:space="preserve">A </w:t>
      </w:r>
      <w:r w:rsidR="007933B6">
        <w:rPr>
          <w:rFonts w:cs="Times New Roman"/>
          <w:bCs/>
          <w:szCs w:val="24"/>
        </w:rPr>
        <w:t xml:space="preserve">Study of the Medication History Taken at Admission of Patients to </w:t>
      </w:r>
      <w:r>
        <w:rPr>
          <w:rFonts w:cs="Times New Roman"/>
          <w:bCs/>
          <w:szCs w:val="24"/>
        </w:rPr>
        <w:t xml:space="preserve">Hamad General Hospital </w:t>
      </w:r>
      <w:r w:rsidR="007933B6">
        <w:rPr>
          <w:rFonts w:cs="Times New Roman"/>
          <w:bCs/>
          <w:szCs w:val="24"/>
        </w:rPr>
        <w:t>and the Prevalence of Medication Discrepancies</w:t>
      </w:r>
    </w:p>
    <w:p w:rsidR="005E1BD3" w:rsidRDefault="005E1BD3" w:rsidP="005E1BD3">
      <w:pPr>
        <w:tabs>
          <w:tab w:val="center" w:pos="5040"/>
          <w:tab w:val="left" w:pos="6345"/>
        </w:tabs>
        <w:spacing w:line="480" w:lineRule="auto"/>
        <w:jc w:val="center"/>
        <w:rPr>
          <w:rFonts w:cs="Times New Roman"/>
          <w:bCs/>
          <w:szCs w:val="24"/>
        </w:rPr>
      </w:pPr>
    </w:p>
    <w:p w:rsidR="006B37C3" w:rsidRPr="00B22946" w:rsidRDefault="006B37C3" w:rsidP="005E1BD3">
      <w:pPr>
        <w:tabs>
          <w:tab w:val="center" w:pos="5040"/>
          <w:tab w:val="left" w:pos="6345"/>
        </w:tabs>
        <w:spacing w:line="480" w:lineRule="auto"/>
        <w:jc w:val="center"/>
        <w:rPr>
          <w:rFonts w:cs="Times New Roman"/>
          <w:bCs/>
          <w:szCs w:val="24"/>
        </w:rPr>
      </w:pPr>
      <w:r w:rsidRPr="00B22946">
        <w:rPr>
          <w:rFonts w:cs="Times New Roman"/>
          <w:bCs/>
          <w:szCs w:val="24"/>
        </w:rPr>
        <w:t>By</w:t>
      </w:r>
    </w:p>
    <w:p w:rsidR="006B37C3" w:rsidRPr="00B22946" w:rsidRDefault="006B37C3" w:rsidP="00B22946">
      <w:pPr>
        <w:tabs>
          <w:tab w:val="center" w:pos="5040"/>
          <w:tab w:val="left" w:pos="6345"/>
        </w:tabs>
        <w:spacing w:line="480" w:lineRule="auto"/>
        <w:rPr>
          <w:rFonts w:cs="Times New Roman"/>
          <w:bCs/>
          <w:szCs w:val="24"/>
        </w:rPr>
      </w:pPr>
    </w:p>
    <w:p w:rsidR="007740C2" w:rsidRPr="00B22946" w:rsidRDefault="00221482" w:rsidP="00B22946">
      <w:pPr>
        <w:tabs>
          <w:tab w:val="center" w:pos="5040"/>
          <w:tab w:val="left" w:pos="6345"/>
        </w:tabs>
        <w:spacing w:line="480" w:lineRule="auto"/>
        <w:rPr>
          <w:rFonts w:cs="Times New Roman"/>
          <w:b/>
          <w:szCs w:val="24"/>
        </w:rPr>
      </w:pPr>
      <w:r w:rsidRPr="00B22946">
        <w:rPr>
          <w:rFonts w:cs="Times New Roman"/>
          <w:b/>
          <w:szCs w:val="24"/>
        </w:rPr>
        <w:tab/>
      </w:r>
    </w:p>
    <w:p w:rsidR="007740C2" w:rsidRPr="00B22946" w:rsidRDefault="007740C2" w:rsidP="00B22946">
      <w:pPr>
        <w:tabs>
          <w:tab w:val="left" w:pos="1864"/>
          <w:tab w:val="left" w:pos="6345"/>
        </w:tabs>
        <w:spacing w:line="480" w:lineRule="auto"/>
        <w:ind w:left="720"/>
        <w:rPr>
          <w:rFonts w:cs="Times New Roman"/>
          <w:bCs/>
          <w:szCs w:val="24"/>
        </w:rPr>
      </w:pPr>
      <w:r w:rsidRPr="00B22946">
        <w:rPr>
          <w:rFonts w:cs="Times New Roman"/>
          <w:bCs/>
          <w:szCs w:val="24"/>
        </w:rPr>
        <w:tab/>
      </w:r>
      <w:r w:rsidR="007A5148" w:rsidRPr="00B22946">
        <w:rPr>
          <w:rFonts w:cs="Times New Roman"/>
          <w:bCs/>
          <w:szCs w:val="24"/>
        </w:rPr>
        <w:tab/>
      </w:r>
    </w:p>
    <w:p w:rsidR="007740C2" w:rsidRPr="00B22946" w:rsidRDefault="007740C2" w:rsidP="00B22946">
      <w:pPr>
        <w:spacing w:line="480" w:lineRule="auto"/>
        <w:ind w:left="720"/>
        <w:rPr>
          <w:rFonts w:cs="Times New Roman"/>
          <w:bCs/>
          <w:szCs w:val="24"/>
        </w:rPr>
      </w:pPr>
    </w:p>
    <w:p w:rsidR="007740C2" w:rsidRPr="00B22946" w:rsidRDefault="007740C2" w:rsidP="00B22946">
      <w:pPr>
        <w:spacing w:line="480" w:lineRule="auto"/>
        <w:ind w:left="720"/>
        <w:rPr>
          <w:rFonts w:cs="Times New Roman"/>
          <w:bCs/>
          <w:szCs w:val="24"/>
        </w:rPr>
      </w:pPr>
    </w:p>
    <w:p w:rsidR="00B45B6D" w:rsidRPr="00B22946" w:rsidRDefault="00B45B6D" w:rsidP="00B22946">
      <w:pPr>
        <w:spacing w:line="480" w:lineRule="auto"/>
        <w:ind w:left="720"/>
        <w:rPr>
          <w:rFonts w:cs="Times New Roman"/>
          <w:bCs/>
          <w:szCs w:val="24"/>
        </w:rPr>
      </w:pPr>
      <w:r w:rsidRPr="00B22946">
        <w:rPr>
          <w:rFonts w:cs="Times New Roman"/>
          <w:bCs/>
          <w:szCs w:val="24"/>
        </w:rPr>
        <w:br w:type="page"/>
      </w:r>
    </w:p>
    <w:sdt>
      <w:sdtPr>
        <w:rPr>
          <w:rFonts w:ascii="Times New Roman" w:eastAsiaTheme="minorHAnsi" w:hAnsi="Times New Roman" w:cs="Times New Roman"/>
          <w:b w:val="0"/>
          <w:bCs w:val="0"/>
          <w:color w:val="auto"/>
          <w:sz w:val="24"/>
          <w:szCs w:val="24"/>
        </w:rPr>
        <w:id w:val="102867809"/>
        <w:docPartObj>
          <w:docPartGallery w:val="Table of Contents"/>
          <w:docPartUnique/>
        </w:docPartObj>
      </w:sdtPr>
      <w:sdtContent>
        <w:p w:rsidR="00171C0D" w:rsidRPr="00B22946" w:rsidRDefault="00171C0D" w:rsidP="00B22946">
          <w:pPr>
            <w:pStyle w:val="TOCHeading"/>
            <w:spacing w:line="480" w:lineRule="auto"/>
            <w:rPr>
              <w:rFonts w:ascii="Times New Roman" w:hAnsi="Times New Roman" w:cs="Times New Roman"/>
              <w:sz w:val="24"/>
              <w:szCs w:val="24"/>
            </w:rPr>
          </w:pPr>
          <w:r w:rsidRPr="00B22946">
            <w:rPr>
              <w:rFonts w:ascii="Times New Roman" w:hAnsi="Times New Roman" w:cs="Times New Roman"/>
              <w:sz w:val="24"/>
              <w:szCs w:val="24"/>
            </w:rPr>
            <w:t>Contents</w:t>
          </w:r>
        </w:p>
        <w:p w:rsidR="00F668B3" w:rsidRDefault="00492711">
          <w:pPr>
            <w:pStyle w:val="TOC1"/>
            <w:tabs>
              <w:tab w:val="right" w:leader="dot" w:pos="9350"/>
            </w:tabs>
            <w:rPr>
              <w:rFonts w:asciiTheme="minorHAnsi" w:eastAsiaTheme="minorEastAsia" w:hAnsiTheme="minorHAnsi"/>
              <w:noProof/>
              <w:sz w:val="22"/>
            </w:rPr>
          </w:pPr>
          <w:r w:rsidRPr="00B22946">
            <w:rPr>
              <w:rFonts w:cs="Times New Roman"/>
              <w:szCs w:val="24"/>
            </w:rPr>
            <w:fldChar w:fldCharType="begin"/>
          </w:r>
          <w:r w:rsidR="00171C0D" w:rsidRPr="00B22946">
            <w:rPr>
              <w:rFonts w:cs="Times New Roman"/>
              <w:szCs w:val="24"/>
            </w:rPr>
            <w:instrText xml:space="preserve"> TOC \o "1-3" \h \z \u </w:instrText>
          </w:r>
          <w:r w:rsidRPr="00B22946">
            <w:rPr>
              <w:rFonts w:cs="Times New Roman"/>
              <w:szCs w:val="24"/>
            </w:rPr>
            <w:fldChar w:fldCharType="separate"/>
          </w:r>
          <w:hyperlink w:anchor="_Toc15143747" w:history="1">
            <w:r w:rsidR="00F668B3" w:rsidRPr="00371AEE">
              <w:rPr>
                <w:rStyle w:val="Hyperlink"/>
                <w:rFonts w:cs="Times New Roman"/>
                <w:noProof/>
              </w:rPr>
              <w:t>Abbreviations</w:t>
            </w:r>
            <w:r w:rsidR="00F668B3">
              <w:rPr>
                <w:noProof/>
                <w:webHidden/>
              </w:rPr>
              <w:tab/>
            </w:r>
            <w:r>
              <w:rPr>
                <w:noProof/>
                <w:webHidden/>
              </w:rPr>
              <w:fldChar w:fldCharType="begin"/>
            </w:r>
            <w:r w:rsidR="00F668B3">
              <w:rPr>
                <w:noProof/>
                <w:webHidden/>
              </w:rPr>
              <w:instrText xml:space="preserve"> PAGEREF _Toc15143747 \h </w:instrText>
            </w:r>
            <w:r>
              <w:rPr>
                <w:noProof/>
                <w:webHidden/>
              </w:rPr>
            </w:r>
            <w:r>
              <w:rPr>
                <w:noProof/>
                <w:webHidden/>
              </w:rPr>
              <w:fldChar w:fldCharType="separate"/>
            </w:r>
            <w:r w:rsidR="00F668B3">
              <w:rPr>
                <w:noProof/>
                <w:webHidden/>
              </w:rPr>
              <w:t>5</w:t>
            </w:r>
            <w:r>
              <w:rPr>
                <w:noProof/>
                <w:webHidden/>
              </w:rPr>
              <w:fldChar w:fldCharType="end"/>
            </w:r>
          </w:hyperlink>
        </w:p>
        <w:p w:rsidR="00F668B3" w:rsidRDefault="00492711">
          <w:pPr>
            <w:pStyle w:val="TOC1"/>
            <w:tabs>
              <w:tab w:val="right" w:leader="dot" w:pos="9350"/>
            </w:tabs>
            <w:rPr>
              <w:rFonts w:asciiTheme="minorHAnsi" w:eastAsiaTheme="minorEastAsia" w:hAnsiTheme="minorHAnsi"/>
              <w:noProof/>
              <w:sz w:val="22"/>
            </w:rPr>
          </w:pPr>
          <w:hyperlink w:anchor="_Toc15143748" w:history="1">
            <w:r w:rsidR="00F668B3" w:rsidRPr="00371AEE">
              <w:rPr>
                <w:rStyle w:val="Hyperlink"/>
                <w:rFonts w:cs="Times New Roman"/>
                <w:noProof/>
              </w:rPr>
              <w:t>Definitions</w:t>
            </w:r>
            <w:r w:rsidR="00F668B3">
              <w:rPr>
                <w:noProof/>
                <w:webHidden/>
              </w:rPr>
              <w:tab/>
            </w:r>
            <w:r>
              <w:rPr>
                <w:noProof/>
                <w:webHidden/>
              </w:rPr>
              <w:fldChar w:fldCharType="begin"/>
            </w:r>
            <w:r w:rsidR="00F668B3">
              <w:rPr>
                <w:noProof/>
                <w:webHidden/>
              </w:rPr>
              <w:instrText xml:space="preserve"> PAGEREF _Toc15143748 \h </w:instrText>
            </w:r>
            <w:r>
              <w:rPr>
                <w:noProof/>
                <w:webHidden/>
              </w:rPr>
            </w:r>
            <w:r>
              <w:rPr>
                <w:noProof/>
                <w:webHidden/>
              </w:rPr>
              <w:fldChar w:fldCharType="separate"/>
            </w:r>
            <w:r w:rsidR="00F668B3">
              <w:rPr>
                <w:noProof/>
                <w:webHidden/>
              </w:rPr>
              <w:t>6</w:t>
            </w:r>
            <w:r>
              <w:rPr>
                <w:noProof/>
                <w:webHidden/>
              </w:rPr>
              <w:fldChar w:fldCharType="end"/>
            </w:r>
          </w:hyperlink>
        </w:p>
        <w:p w:rsidR="00F668B3" w:rsidRDefault="00492711">
          <w:pPr>
            <w:pStyle w:val="TOC1"/>
            <w:tabs>
              <w:tab w:val="right" w:leader="dot" w:pos="9350"/>
            </w:tabs>
            <w:rPr>
              <w:rFonts w:asciiTheme="minorHAnsi" w:eastAsiaTheme="minorEastAsia" w:hAnsiTheme="minorHAnsi"/>
              <w:noProof/>
              <w:sz w:val="22"/>
            </w:rPr>
          </w:pPr>
          <w:hyperlink w:anchor="_Toc15143749" w:history="1">
            <w:r w:rsidR="00F668B3" w:rsidRPr="00371AEE">
              <w:rPr>
                <w:rStyle w:val="Hyperlink"/>
                <w:rFonts w:cs="Times New Roman"/>
                <w:noProof/>
              </w:rPr>
              <w:t>Introduction</w:t>
            </w:r>
            <w:r w:rsidR="00F668B3">
              <w:rPr>
                <w:noProof/>
                <w:webHidden/>
              </w:rPr>
              <w:tab/>
            </w:r>
            <w:r>
              <w:rPr>
                <w:noProof/>
                <w:webHidden/>
              </w:rPr>
              <w:fldChar w:fldCharType="begin"/>
            </w:r>
            <w:r w:rsidR="00F668B3">
              <w:rPr>
                <w:noProof/>
                <w:webHidden/>
              </w:rPr>
              <w:instrText xml:space="preserve"> PAGEREF _Toc15143749 \h </w:instrText>
            </w:r>
            <w:r>
              <w:rPr>
                <w:noProof/>
                <w:webHidden/>
              </w:rPr>
            </w:r>
            <w:r>
              <w:rPr>
                <w:noProof/>
                <w:webHidden/>
              </w:rPr>
              <w:fldChar w:fldCharType="separate"/>
            </w:r>
            <w:r w:rsidR="00F668B3">
              <w:rPr>
                <w:noProof/>
                <w:webHidden/>
              </w:rPr>
              <w:t>8</w:t>
            </w:r>
            <w:r>
              <w:rPr>
                <w:noProof/>
                <w:webHidden/>
              </w:rPr>
              <w:fldChar w:fldCharType="end"/>
            </w:r>
          </w:hyperlink>
        </w:p>
        <w:p w:rsidR="00F668B3" w:rsidRDefault="00492711">
          <w:pPr>
            <w:pStyle w:val="TOC2"/>
            <w:tabs>
              <w:tab w:val="right" w:leader="dot" w:pos="9350"/>
            </w:tabs>
            <w:rPr>
              <w:rFonts w:asciiTheme="minorHAnsi" w:eastAsiaTheme="minorEastAsia" w:hAnsiTheme="minorHAnsi"/>
              <w:noProof/>
              <w:sz w:val="22"/>
            </w:rPr>
          </w:pPr>
          <w:hyperlink w:anchor="_Toc15143750" w:history="1">
            <w:r w:rsidR="00F668B3" w:rsidRPr="00371AEE">
              <w:rPr>
                <w:rStyle w:val="Hyperlink"/>
                <w:rFonts w:cs="Times New Roman"/>
                <w:noProof/>
              </w:rPr>
              <w:t>Prevalence of Inaccurate Patient Medication History</w:t>
            </w:r>
            <w:r w:rsidR="00F668B3">
              <w:rPr>
                <w:noProof/>
                <w:webHidden/>
              </w:rPr>
              <w:tab/>
            </w:r>
            <w:r>
              <w:rPr>
                <w:noProof/>
                <w:webHidden/>
              </w:rPr>
              <w:fldChar w:fldCharType="begin"/>
            </w:r>
            <w:r w:rsidR="00F668B3">
              <w:rPr>
                <w:noProof/>
                <w:webHidden/>
              </w:rPr>
              <w:instrText xml:space="preserve"> PAGEREF _Toc15143750 \h </w:instrText>
            </w:r>
            <w:r>
              <w:rPr>
                <w:noProof/>
                <w:webHidden/>
              </w:rPr>
            </w:r>
            <w:r>
              <w:rPr>
                <w:noProof/>
                <w:webHidden/>
              </w:rPr>
              <w:fldChar w:fldCharType="separate"/>
            </w:r>
            <w:r w:rsidR="00F668B3">
              <w:rPr>
                <w:noProof/>
                <w:webHidden/>
              </w:rPr>
              <w:t>9</w:t>
            </w:r>
            <w:r>
              <w:rPr>
                <w:noProof/>
                <w:webHidden/>
              </w:rPr>
              <w:fldChar w:fldCharType="end"/>
            </w:r>
          </w:hyperlink>
        </w:p>
        <w:p w:rsidR="00F668B3" w:rsidRDefault="00492711">
          <w:pPr>
            <w:pStyle w:val="TOC2"/>
            <w:tabs>
              <w:tab w:val="right" w:leader="dot" w:pos="9350"/>
            </w:tabs>
            <w:rPr>
              <w:rFonts w:asciiTheme="minorHAnsi" w:eastAsiaTheme="minorEastAsia" w:hAnsiTheme="minorHAnsi"/>
              <w:noProof/>
              <w:sz w:val="22"/>
            </w:rPr>
          </w:pPr>
          <w:hyperlink w:anchor="_Toc15143751" w:history="1">
            <w:r w:rsidR="00F668B3" w:rsidRPr="00371AEE">
              <w:rPr>
                <w:rStyle w:val="Hyperlink"/>
                <w:rFonts w:cs="Times New Roman"/>
                <w:noProof/>
              </w:rPr>
              <w:t>Impact of Inaccurate Patient Medication History</w:t>
            </w:r>
            <w:r w:rsidR="00F668B3">
              <w:rPr>
                <w:noProof/>
                <w:webHidden/>
              </w:rPr>
              <w:tab/>
            </w:r>
            <w:r>
              <w:rPr>
                <w:noProof/>
                <w:webHidden/>
              </w:rPr>
              <w:fldChar w:fldCharType="begin"/>
            </w:r>
            <w:r w:rsidR="00F668B3">
              <w:rPr>
                <w:noProof/>
                <w:webHidden/>
              </w:rPr>
              <w:instrText xml:space="preserve"> PAGEREF _Toc15143751 \h </w:instrText>
            </w:r>
            <w:r>
              <w:rPr>
                <w:noProof/>
                <w:webHidden/>
              </w:rPr>
            </w:r>
            <w:r>
              <w:rPr>
                <w:noProof/>
                <w:webHidden/>
              </w:rPr>
              <w:fldChar w:fldCharType="separate"/>
            </w:r>
            <w:r w:rsidR="00F668B3">
              <w:rPr>
                <w:noProof/>
                <w:webHidden/>
              </w:rPr>
              <w:t>10</w:t>
            </w:r>
            <w:r>
              <w:rPr>
                <w:noProof/>
                <w:webHidden/>
              </w:rPr>
              <w:fldChar w:fldCharType="end"/>
            </w:r>
          </w:hyperlink>
        </w:p>
        <w:p w:rsidR="00F668B3" w:rsidRDefault="00492711">
          <w:pPr>
            <w:pStyle w:val="TOC2"/>
            <w:tabs>
              <w:tab w:val="right" w:leader="dot" w:pos="9350"/>
            </w:tabs>
            <w:rPr>
              <w:rFonts w:asciiTheme="minorHAnsi" w:eastAsiaTheme="minorEastAsia" w:hAnsiTheme="minorHAnsi"/>
              <w:noProof/>
              <w:sz w:val="22"/>
            </w:rPr>
          </w:pPr>
          <w:hyperlink w:anchor="_Toc15143752" w:history="1">
            <w:r w:rsidR="00F668B3" w:rsidRPr="00371AEE">
              <w:rPr>
                <w:rStyle w:val="Hyperlink"/>
                <w:rFonts w:cs="Times New Roman"/>
                <w:noProof/>
              </w:rPr>
              <w:t>Solution to Erroneous Medical History</w:t>
            </w:r>
            <w:r w:rsidR="00F668B3">
              <w:rPr>
                <w:noProof/>
                <w:webHidden/>
              </w:rPr>
              <w:tab/>
            </w:r>
            <w:r>
              <w:rPr>
                <w:noProof/>
                <w:webHidden/>
              </w:rPr>
              <w:fldChar w:fldCharType="begin"/>
            </w:r>
            <w:r w:rsidR="00F668B3">
              <w:rPr>
                <w:noProof/>
                <w:webHidden/>
              </w:rPr>
              <w:instrText xml:space="preserve"> PAGEREF _Toc15143752 \h </w:instrText>
            </w:r>
            <w:r>
              <w:rPr>
                <w:noProof/>
                <w:webHidden/>
              </w:rPr>
            </w:r>
            <w:r>
              <w:rPr>
                <w:noProof/>
                <w:webHidden/>
              </w:rPr>
              <w:fldChar w:fldCharType="separate"/>
            </w:r>
            <w:r w:rsidR="00F668B3">
              <w:rPr>
                <w:noProof/>
                <w:webHidden/>
              </w:rPr>
              <w:t>11</w:t>
            </w:r>
            <w:r>
              <w:rPr>
                <w:noProof/>
                <w:webHidden/>
              </w:rPr>
              <w:fldChar w:fldCharType="end"/>
            </w:r>
          </w:hyperlink>
        </w:p>
        <w:p w:rsidR="00F668B3" w:rsidRDefault="00492711">
          <w:pPr>
            <w:pStyle w:val="TOC2"/>
            <w:tabs>
              <w:tab w:val="right" w:leader="dot" w:pos="9350"/>
            </w:tabs>
            <w:rPr>
              <w:rFonts w:asciiTheme="minorHAnsi" w:eastAsiaTheme="minorEastAsia" w:hAnsiTheme="minorHAnsi"/>
              <w:noProof/>
              <w:sz w:val="22"/>
            </w:rPr>
          </w:pPr>
          <w:hyperlink w:anchor="_Toc15143753" w:history="1">
            <w:r w:rsidR="00F668B3" w:rsidRPr="00371AEE">
              <w:rPr>
                <w:rStyle w:val="Hyperlink"/>
                <w:rFonts w:cs="Times New Roman"/>
                <w:noProof/>
              </w:rPr>
              <w:t>Benefits of Accurate Medication History at Hospital Admission</w:t>
            </w:r>
            <w:r w:rsidR="00F668B3">
              <w:rPr>
                <w:noProof/>
                <w:webHidden/>
              </w:rPr>
              <w:tab/>
            </w:r>
            <w:r>
              <w:rPr>
                <w:noProof/>
                <w:webHidden/>
              </w:rPr>
              <w:fldChar w:fldCharType="begin"/>
            </w:r>
            <w:r w:rsidR="00F668B3">
              <w:rPr>
                <w:noProof/>
                <w:webHidden/>
              </w:rPr>
              <w:instrText xml:space="preserve"> PAGEREF _Toc15143753 \h </w:instrText>
            </w:r>
            <w:r>
              <w:rPr>
                <w:noProof/>
                <w:webHidden/>
              </w:rPr>
            </w:r>
            <w:r>
              <w:rPr>
                <w:noProof/>
                <w:webHidden/>
              </w:rPr>
              <w:fldChar w:fldCharType="separate"/>
            </w:r>
            <w:r w:rsidR="00F668B3">
              <w:rPr>
                <w:noProof/>
                <w:webHidden/>
              </w:rPr>
              <w:t>12</w:t>
            </w:r>
            <w:r>
              <w:rPr>
                <w:noProof/>
                <w:webHidden/>
              </w:rPr>
              <w:fldChar w:fldCharType="end"/>
            </w:r>
          </w:hyperlink>
        </w:p>
        <w:p w:rsidR="00F668B3" w:rsidRDefault="00492711">
          <w:pPr>
            <w:pStyle w:val="TOC2"/>
            <w:tabs>
              <w:tab w:val="right" w:leader="dot" w:pos="9350"/>
            </w:tabs>
            <w:rPr>
              <w:rFonts w:asciiTheme="minorHAnsi" w:eastAsiaTheme="minorEastAsia" w:hAnsiTheme="minorHAnsi"/>
              <w:noProof/>
              <w:sz w:val="22"/>
            </w:rPr>
          </w:pPr>
          <w:hyperlink w:anchor="_Toc15143754" w:history="1">
            <w:r w:rsidR="00F668B3" w:rsidRPr="00371AEE">
              <w:rPr>
                <w:rStyle w:val="Hyperlink"/>
                <w:rFonts w:cs="Times New Roman"/>
                <w:noProof/>
              </w:rPr>
              <w:t>Sources of Patient Medication History</w:t>
            </w:r>
            <w:r w:rsidR="00F668B3">
              <w:rPr>
                <w:noProof/>
                <w:webHidden/>
              </w:rPr>
              <w:tab/>
            </w:r>
            <w:r>
              <w:rPr>
                <w:noProof/>
                <w:webHidden/>
              </w:rPr>
              <w:fldChar w:fldCharType="begin"/>
            </w:r>
            <w:r w:rsidR="00F668B3">
              <w:rPr>
                <w:noProof/>
                <w:webHidden/>
              </w:rPr>
              <w:instrText xml:space="preserve"> PAGEREF _Toc15143754 \h </w:instrText>
            </w:r>
            <w:r>
              <w:rPr>
                <w:noProof/>
                <w:webHidden/>
              </w:rPr>
            </w:r>
            <w:r>
              <w:rPr>
                <w:noProof/>
                <w:webHidden/>
              </w:rPr>
              <w:fldChar w:fldCharType="separate"/>
            </w:r>
            <w:r w:rsidR="00F668B3">
              <w:rPr>
                <w:noProof/>
                <w:webHidden/>
              </w:rPr>
              <w:t>14</w:t>
            </w:r>
            <w:r>
              <w:rPr>
                <w:noProof/>
                <w:webHidden/>
              </w:rPr>
              <w:fldChar w:fldCharType="end"/>
            </w:r>
          </w:hyperlink>
        </w:p>
        <w:p w:rsidR="00F668B3" w:rsidRDefault="00492711">
          <w:pPr>
            <w:pStyle w:val="TOC3"/>
            <w:tabs>
              <w:tab w:val="right" w:leader="dot" w:pos="9350"/>
            </w:tabs>
            <w:rPr>
              <w:rFonts w:asciiTheme="minorHAnsi" w:eastAsiaTheme="minorEastAsia" w:hAnsiTheme="minorHAnsi"/>
              <w:noProof/>
              <w:sz w:val="22"/>
            </w:rPr>
          </w:pPr>
          <w:hyperlink w:anchor="_Toc15143755" w:history="1">
            <w:r w:rsidR="00F668B3" w:rsidRPr="00371AEE">
              <w:rPr>
                <w:rStyle w:val="Hyperlink"/>
                <w:rFonts w:cs="Times New Roman"/>
                <w:noProof/>
              </w:rPr>
              <w:t>Steps in the Patient Interview</w:t>
            </w:r>
            <w:r w:rsidR="00F668B3">
              <w:rPr>
                <w:noProof/>
                <w:webHidden/>
              </w:rPr>
              <w:tab/>
            </w:r>
            <w:r>
              <w:rPr>
                <w:noProof/>
                <w:webHidden/>
              </w:rPr>
              <w:fldChar w:fldCharType="begin"/>
            </w:r>
            <w:r w:rsidR="00F668B3">
              <w:rPr>
                <w:noProof/>
                <w:webHidden/>
              </w:rPr>
              <w:instrText xml:space="preserve"> PAGEREF _Toc15143755 \h </w:instrText>
            </w:r>
            <w:r>
              <w:rPr>
                <w:noProof/>
                <w:webHidden/>
              </w:rPr>
            </w:r>
            <w:r>
              <w:rPr>
                <w:noProof/>
                <w:webHidden/>
              </w:rPr>
              <w:fldChar w:fldCharType="separate"/>
            </w:r>
            <w:r w:rsidR="00F668B3">
              <w:rPr>
                <w:noProof/>
                <w:webHidden/>
              </w:rPr>
              <w:t>15</w:t>
            </w:r>
            <w:r>
              <w:rPr>
                <w:noProof/>
                <w:webHidden/>
              </w:rPr>
              <w:fldChar w:fldCharType="end"/>
            </w:r>
          </w:hyperlink>
        </w:p>
        <w:p w:rsidR="00F668B3" w:rsidRDefault="00492711">
          <w:pPr>
            <w:pStyle w:val="TOC2"/>
            <w:tabs>
              <w:tab w:val="right" w:leader="dot" w:pos="9350"/>
            </w:tabs>
            <w:rPr>
              <w:rFonts w:asciiTheme="minorHAnsi" w:eastAsiaTheme="minorEastAsia" w:hAnsiTheme="minorHAnsi"/>
              <w:noProof/>
              <w:sz w:val="22"/>
            </w:rPr>
          </w:pPr>
          <w:hyperlink w:anchor="_Toc15143756" w:history="1">
            <w:r w:rsidR="00F668B3" w:rsidRPr="00371AEE">
              <w:rPr>
                <w:rStyle w:val="Hyperlink"/>
                <w:rFonts w:cs="Times New Roman"/>
                <w:noProof/>
              </w:rPr>
              <w:t>Reason for Inaccurate Patient Medication History at Admission</w:t>
            </w:r>
            <w:r w:rsidR="00F668B3">
              <w:rPr>
                <w:noProof/>
                <w:webHidden/>
              </w:rPr>
              <w:tab/>
            </w:r>
            <w:r>
              <w:rPr>
                <w:noProof/>
                <w:webHidden/>
              </w:rPr>
              <w:fldChar w:fldCharType="begin"/>
            </w:r>
            <w:r w:rsidR="00F668B3">
              <w:rPr>
                <w:noProof/>
                <w:webHidden/>
              </w:rPr>
              <w:instrText xml:space="preserve"> PAGEREF _Toc15143756 \h </w:instrText>
            </w:r>
            <w:r>
              <w:rPr>
                <w:noProof/>
                <w:webHidden/>
              </w:rPr>
            </w:r>
            <w:r>
              <w:rPr>
                <w:noProof/>
                <w:webHidden/>
              </w:rPr>
              <w:fldChar w:fldCharType="separate"/>
            </w:r>
            <w:r w:rsidR="00F668B3">
              <w:rPr>
                <w:noProof/>
                <w:webHidden/>
              </w:rPr>
              <w:t>21</w:t>
            </w:r>
            <w:r>
              <w:rPr>
                <w:noProof/>
                <w:webHidden/>
              </w:rPr>
              <w:fldChar w:fldCharType="end"/>
            </w:r>
          </w:hyperlink>
        </w:p>
        <w:p w:rsidR="00F668B3" w:rsidRDefault="00492711">
          <w:pPr>
            <w:pStyle w:val="TOC3"/>
            <w:tabs>
              <w:tab w:val="right" w:leader="dot" w:pos="9350"/>
            </w:tabs>
            <w:rPr>
              <w:rFonts w:asciiTheme="minorHAnsi" w:eastAsiaTheme="minorEastAsia" w:hAnsiTheme="minorHAnsi"/>
              <w:noProof/>
              <w:sz w:val="22"/>
            </w:rPr>
          </w:pPr>
          <w:hyperlink w:anchor="_Toc15143757" w:history="1">
            <w:r w:rsidR="00F668B3" w:rsidRPr="00371AEE">
              <w:rPr>
                <w:rStyle w:val="Hyperlink"/>
                <w:rFonts w:cs="Times New Roman"/>
                <w:noProof/>
              </w:rPr>
              <w:t>Patient Medication List</w:t>
            </w:r>
            <w:r w:rsidR="00F668B3">
              <w:rPr>
                <w:noProof/>
                <w:webHidden/>
              </w:rPr>
              <w:tab/>
            </w:r>
            <w:r>
              <w:rPr>
                <w:noProof/>
                <w:webHidden/>
              </w:rPr>
              <w:fldChar w:fldCharType="begin"/>
            </w:r>
            <w:r w:rsidR="00F668B3">
              <w:rPr>
                <w:noProof/>
                <w:webHidden/>
              </w:rPr>
              <w:instrText xml:space="preserve"> PAGEREF _Toc15143757 \h </w:instrText>
            </w:r>
            <w:r>
              <w:rPr>
                <w:noProof/>
                <w:webHidden/>
              </w:rPr>
            </w:r>
            <w:r>
              <w:rPr>
                <w:noProof/>
                <w:webHidden/>
              </w:rPr>
              <w:fldChar w:fldCharType="separate"/>
            </w:r>
            <w:r w:rsidR="00F668B3">
              <w:rPr>
                <w:noProof/>
                <w:webHidden/>
              </w:rPr>
              <w:t>22</w:t>
            </w:r>
            <w:r>
              <w:rPr>
                <w:noProof/>
                <w:webHidden/>
              </w:rPr>
              <w:fldChar w:fldCharType="end"/>
            </w:r>
          </w:hyperlink>
        </w:p>
        <w:p w:rsidR="00F668B3" w:rsidRDefault="00492711">
          <w:pPr>
            <w:pStyle w:val="TOC3"/>
            <w:tabs>
              <w:tab w:val="right" w:leader="dot" w:pos="9350"/>
            </w:tabs>
            <w:rPr>
              <w:rFonts w:asciiTheme="minorHAnsi" w:eastAsiaTheme="minorEastAsia" w:hAnsiTheme="minorHAnsi"/>
              <w:noProof/>
              <w:sz w:val="22"/>
            </w:rPr>
          </w:pPr>
          <w:hyperlink w:anchor="_Toc15143758" w:history="1">
            <w:r w:rsidR="00F668B3" w:rsidRPr="00371AEE">
              <w:rPr>
                <w:rStyle w:val="Hyperlink"/>
                <w:rFonts w:cs="Times New Roman"/>
                <w:noProof/>
              </w:rPr>
              <w:t>Physical Inspection of patient own medication.</w:t>
            </w:r>
            <w:r w:rsidR="00F668B3">
              <w:rPr>
                <w:noProof/>
                <w:webHidden/>
              </w:rPr>
              <w:tab/>
            </w:r>
            <w:r>
              <w:rPr>
                <w:noProof/>
                <w:webHidden/>
              </w:rPr>
              <w:fldChar w:fldCharType="begin"/>
            </w:r>
            <w:r w:rsidR="00F668B3">
              <w:rPr>
                <w:noProof/>
                <w:webHidden/>
              </w:rPr>
              <w:instrText xml:space="preserve"> PAGEREF _Toc15143758 \h </w:instrText>
            </w:r>
            <w:r>
              <w:rPr>
                <w:noProof/>
                <w:webHidden/>
              </w:rPr>
            </w:r>
            <w:r>
              <w:rPr>
                <w:noProof/>
                <w:webHidden/>
              </w:rPr>
              <w:fldChar w:fldCharType="separate"/>
            </w:r>
            <w:r w:rsidR="00F668B3">
              <w:rPr>
                <w:noProof/>
                <w:webHidden/>
              </w:rPr>
              <w:t>23</w:t>
            </w:r>
            <w:r>
              <w:rPr>
                <w:noProof/>
                <w:webHidden/>
              </w:rPr>
              <w:fldChar w:fldCharType="end"/>
            </w:r>
          </w:hyperlink>
        </w:p>
        <w:p w:rsidR="00F668B3" w:rsidRDefault="00492711">
          <w:pPr>
            <w:pStyle w:val="TOC3"/>
            <w:tabs>
              <w:tab w:val="right" w:leader="dot" w:pos="9350"/>
            </w:tabs>
            <w:rPr>
              <w:rFonts w:asciiTheme="minorHAnsi" w:eastAsiaTheme="minorEastAsia" w:hAnsiTheme="minorHAnsi"/>
              <w:noProof/>
              <w:sz w:val="22"/>
            </w:rPr>
          </w:pPr>
          <w:hyperlink w:anchor="_Toc15143759" w:history="1">
            <w:r w:rsidR="00F668B3" w:rsidRPr="00371AEE">
              <w:rPr>
                <w:rStyle w:val="Hyperlink"/>
                <w:rFonts w:cs="Times New Roman"/>
                <w:noProof/>
              </w:rPr>
              <w:t>Patient-Related Causes</w:t>
            </w:r>
            <w:r w:rsidR="00F668B3">
              <w:rPr>
                <w:noProof/>
                <w:webHidden/>
              </w:rPr>
              <w:tab/>
            </w:r>
            <w:r>
              <w:rPr>
                <w:noProof/>
                <w:webHidden/>
              </w:rPr>
              <w:fldChar w:fldCharType="begin"/>
            </w:r>
            <w:r w:rsidR="00F668B3">
              <w:rPr>
                <w:noProof/>
                <w:webHidden/>
              </w:rPr>
              <w:instrText xml:space="preserve"> PAGEREF _Toc15143759 \h </w:instrText>
            </w:r>
            <w:r>
              <w:rPr>
                <w:noProof/>
                <w:webHidden/>
              </w:rPr>
            </w:r>
            <w:r>
              <w:rPr>
                <w:noProof/>
                <w:webHidden/>
              </w:rPr>
              <w:fldChar w:fldCharType="separate"/>
            </w:r>
            <w:r w:rsidR="00F668B3">
              <w:rPr>
                <w:noProof/>
                <w:webHidden/>
              </w:rPr>
              <w:t>24</w:t>
            </w:r>
            <w:r>
              <w:rPr>
                <w:noProof/>
                <w:webHidden/>
              </w:rPr>
              <w:fldChar w:fldCharType="end"/>
            </w:r>
          </w:hyperlink>
        </w:p>
        <w:p w:rsidR="00F668B3" w:rsidRDefault="00492711">
          <w:pPr>
            <w:pStyle w:val="TOC3"/>
            <w:tabs>
              <w:tab w:val="right" w:leader="dot" w:pos="9350"/>
            </w:tabs>
            <w:rPr>
              <w:rFonts w:asciiTheme="minorHAnsi" w:eastAsiaTheme="minorEastAsia" w:hAnsiTheme="minorHAnsi"/>
              <w:noProof/>
              <w:sz w:val="22"/>
            </w:rPr>
          </w:pPr>
          <w:hyperlink w:anchor="_Toc15143760" w:history="1">
            <w:r w:rsidR="00F668B3" w:rsidRPr="00371AEE">
              <w:rPr>
                <w:rStyle w:val="Hyperlink"/>
                <w:rFonts w:cs="Times New Roman"/>
                <w:noProof/>
              </w:rPr>
              <w:t>Medications Related Causes</w:t>
            </w:r>
            <w:r w:rsidR="00F668B3">
              <w:rPr>
                <w:noProof/>
                <w:webHidden/>
              </w:rPr>
              <w:tab/>
            </w:r>
            <w:r>
              <w:rPr>
                <w:noProof/>
                <w:webHidden/>
              </w:rPr>
              <w:fldChar w:fldCharType="begin"/>
            </w:r>
            <w:r w:rsidR="00F668B3">
              <w:rPr>
                <w:noProof/>
                <w:webHidden/>
              </w:rPr>
              <w:instrText xml:space="preserve"> PAGEREF _Toc15143760 \h </w:instrText>
            </w:r>
            <w:r>
              <w:rPr>
                <w:noProof/>
                <w:webHidden/>
              </w:rPr>
            </w:r>
            <w:r>
              <w:rPr>
                <w:noProof/>
                <w:webHidden/>
              </w:rPr>
              <w:fldChar w:fldCharType="separate"/>
            </w:r>
            <w:r w:rsidR="00F668B3">
              <w:rPr>
                <w:noProof/>
                <w:webHidden/>
              </w:rPr>
              <w:t>25</w:t>
            </w:r>
            <w:r>
              <w:rPr>
                <w:noProof/>
                <w:webHidden/>
              </w:rPr>
              <w:fldChar w:fldCharType="end"/>
            </w:r>
          </w:hyperlink>
        </w:p>
        <w:p w:rsidR="00F668B3" w:rsidRDefault="00492711">
          <w:pPr>
            <w:pStyle w:val="TOC3"/>
            <w:tabs>
              <w:tab w:val="right" w:leader="dot" w:pos="9350"/>
            </w:tabs>
            <w:rPr>
              <w:rFonts w:asciiTheme="minorHAnsi" w:eastAsiaTheme="minorEastAsia" w:hAnsiTheme="minorHAnsi"/>
              <w:noProof/>
              <w:sz w:val="22"/>
            </w:rPr>
          </w:pPr>
          <w:hyperlink w:anchor="_Toc15143761" w:history="1">
            <w:r w:rsidR="00F668B3" w:rsidRPr="00371AEE">
              <w:rPr>
                <w:rStyle w:val="Hyperlink"/>
                <w:rFonts w:cs="Times New Roman"/>
                <w:noProof/>
              </w:rPr>
              <w:t>Professional Care Provider Related Causes</w:t>
            </w:r>
            <w:r w:rsidR="00F668B3">
              <w:rPr>
                <w:noProof/>
                <w:webHidden/>
              </w:rPr>
              <w:tab/>
            </w:r>
            <w:r>
              <w:rPr>
                <w:noProof/>
                <w:webHidden/>
              </w:rPr>
              <w:fldChar w:fldCharType="begin"/>
            </w:r>
            <w:r w:rsidR="00F668B3">
              <w:rPr>
                <w:noProof/>
                <w:webHidden/>
              </w:rPr>
              <w:instrText xml:space="preserve"> PAGEREF _Toc15143761 \h </w:instrText>
            </w:r>
            <w:r>
              <w:rPr>
                <w:noProof/>
                <w:webHidden/>
              </w:rPr>
            </w:r>
            <w:r>
              <w:rPr>
                <w:noProof/>
                <w:webHidden/>
              </w:rPr>
              <w:fldChar w:fldCharType="separate"/>
            </w:r>
            <w:r w:rsidR="00F668B3">
              <w:rPr>
                <w:noProof/>
                <w:webHidden/>
              </w:rPr>
              <w:t>26</w:t>
            </w:r>
            <w:r>
              <w:rPr>
                <w:noProof/>
                <w:webHidden/>
              </w:rPr>
              <w:fldChar w:fldCharType="end"/>
            </w:r>
          </w:hyperlink>
        </w:p>
        <w:p w:rsidR="00F668B3" w:rsidRDefault="00492711">
          <w:pPr>
            <w:pStyle w:val="TOC3"/>
            <w:tabs>
              <w:tab w:val="right" w:leader="dot" w:pos="9350"/>
            </w:tabs>
            <w:rPr>
              <w:rFonts w:asciiTheme="minorHAnsi" w:eastAsiaTheme="minorEastAsia" w:hAnsiTheme="minorHAnsi"/>
              <w:noProof/>
              <w:sz w:val="22"/>
            </w:rPr>
          </w:pPr>
          <w:hyperlink w:anchor="_Toc15143762" w:history="1">
            <w:r w:rsidR="00F668B3" w:rsidRPr="00371AEE">
              <w:rPr>
                <w:rStyle w:val="Hyperlink"/>
                <w:rFonts w:cs="Times New Roman"/>
                <w:noProof/>
              </w:rPr>
              <w:t>Medication Lists in Electronic Medical Records</w:t>
            </w:r>
            <w:r w:rsidR="00F668B3">
              <w:rPr>
                <w:noProof/>
                <w:webHidden/>
              </w:rPr>
              <w:tab/>
            </w:r>
            <w:r>
              <w:rPr>
                <w:noProof/>
                <w:webHidden/>
              </w:rPr>
              <w:fldChar w:fldCharType="begin"/>
            </w:r>
            <w:r w:rsidR="00F668B3">
              <w:rPr>
                <w:noProof/>
                <w:webHidden/>
              </w:rPr>
              <w:instrText xml:space="preserve"> PAGEREF _Toc15143762 \h </w:instrText>
            </w:r>
            <w:r>
              <w:rPr>
                <w:noProof/>
                <w:webHidden/>
              </w:rPr>
            </w:r>
            <w:r>
              <w:rPr>
                <w:noProof/>
                <w:webHidden/>
              </w:rPr>
              <w:fldChar w:fldCharType="separate"/>
            </w:r>
            <w:r w:rsidR="00F668B3">
              <w:rPr>
                <w:noProof/>
                <w:webHidden/>
              </w:rPr>
              <w:t>26</w:t>
            </w:r>
            <w:r>
              <w:rPr>
                <w:noProof/>
                <w:webHidden/>
              </w:rPr>
              <w:fldChar w:fldCharType="end"/>
            </w:r>
          </w:hyperlink>
        </w:p>
        <w:p w:rsidR="00F668B3" w:rsidRDefault="00492711">
          <w:pPr>
            <w:pStyle w:val="TOC3"/>
            <w:tabs>
              <w:tab w:val="right" w:leader="dot" w:pos="9350"/>
            </w:tabs>
            <w:rPr>
              <w:rFonts w:asciiTheme="minorHAnsi" w:eastAsiaTheme="minorEastAsia" w:hAnsiTheme="minorHAnsi"/>
              <w:noProof/>
              <w:sz w:val="22"/>
            </w:rPr>
          </w:pPr>
          <w:hyperlink w:anchor="_Toc15143763" w:history="1">
            <w:r w:rsidR="00F668B3" w:rsidRPr="00371AEE">
              <w:rPr>
                <w:rStyle w:val="Hyperlink"/>
                <w:rFonts w:cs="Times New Roman"/>
                <w:noProof/>
              </w:rPr>
              <w:t>Communication System</w:t>
            </w:r>
            <w:r w:rsidR="00F668B3">
              <w:rPr>
                <w:noProof/>
                <w:webHidden/>
              </w:rPr>
              <w:tab/>
            </w:r>
            <w:r>
              <w:rPr>
                <w:noProof/>
                <w:webHidden/>
              </w:rPr>
              <w:fldChar w:fldCharType="begin"/>
            </w:r>
            <w:r w:rsidR="00F668B3">
              <w:rPr>
                <w:noProof/>
                <w:webHidden/>
              </w:rPr>
              <w:instrText xml:space="preserve"> PAGEREF _Toc15143763 \h </w:instrText>
            </w:r>
            <w:r>
              <w:rPr>
                <w:noProof/>
                <w:webHidden/>
              </w:rPr>
            </w:r>
            <w:r>
              <w:rPr>
                <w:noProof/>
                <w:webHidden/>
              </w:rPr>
              <w:fldChar w:fldCharType="separate"/>
            </w:r>
            <w:r w:rsidR="00F668B3">
              <w:rPr>
                <w:noProof/>
                <w:webHidden/>
              </w:rPr>
              <w:t>26</w:t>
            </w:r>
            <w:r>
              <w:rPr>
                <w:noProof/>
                <w:webHidden/>
              </w:rPr>
              <w:fldChar w:fldCharType="end"/>
            </w:r>
          </w:hyperlink>
        </w:p>
        <w:p w:rsidR="00F668B3" w:rsidRDefault="00492711">
          <w:pPr>
            <w:pStyle w:val="TOC2"/>
            <w:tabs>
              <w:tab w:val="right" w:leader="dot" w:pos="9350"/>
            </w:tabs>
            <w:rPr>
              <w:rFonts w:asciiTheme="minorHAnsi" w:eastAsiaTheme="minorEastAsia" w:hAnsiTheme="minorHAnsi"/>
              <w:noProof/>
              <w:sz w:val="22"/>
            </w:rPr>
          </w:pPr>
          <w:hyperlink w:anchor="_Toc15143764" w:history="1">
            <w:r w:rsidR="00F668B3" w:rsidRPr="00371AEE">
              <w:rPr>
                <w:rStyle w:val="Hyperlink"/>
                <w:rFonts w:cs="Times New Roman"/>
                <w:noProof/>
              </w:rPr>
              <w:t>Steps to Reduce Inaccurate Patient Medication History</w:t>
            </w:r>
            <w:r w:rsidR="00F668B3">
              <w:rPr>
                <w:noProof/>
                <w:webHidden/>
              </w:rPr>
              <w:tab/>
            </w:r>
            <w:r>
              <w:rPr>
                <w:noProof/>
                <w:webHidden/>
              </w:rPr>
              <w:fldChar w:fldCharType="begin"/>
            </w:r>
            <w:r w:rsidR="00F668B3">
              <w:rPr>
                <w:noProof/>
                <w:webHidden/>
              </w:rPr>
              <w:instrText xml:space="preserve"> PAGEREF _Toc15143764 \h </w:instrText>
            </w:r>
            <w:r>
              <w:rPr>
                <w:noProof/>
                <w:webHidden/>
              </w:rPr>
            </w:r>
            <w:r>
              <w:rPr>
                <w:noProof/>
                <w:webHidden/>
              </w:rPr>
              <w:fldChar w:fldCharType="separate"/>
            </w:r>
            <w:r w:rsidR="00F668B3">
              <w:rPr>
                <w:noProof/>
                <w:webHidden/>
              </w:rPr>
              <w:t>27</w:t>
            </w:r>
            <w:r>
              <w:rPr>
                <w:noProof/>
                <w:webHidden/>
              </w:rPr>
              <w:fldChar w:fldCharType="end"/>
            </w:r>
          </w:hyperlink>
        </w:p>
        <w:p w:rsidR="00F668B3" w:rsidRDefault="00492711">
          <w:pPr>
            <w:pStyle w:val="TOC1"/>
            <w:tabs>
              <w:tab w:val="right" w:leader="dot" w:pos="9350"/>
            </w:tabs>
            <w:rPr>
              <w:rFonts w:asciiTheme="minorHAnsi" w:eastAsiaTheme="minorEastAsia" w:hAnsiTheme="minorHAnsi"/>
              <w:noProof/>
              <w:sz w:val="22"/>
            </w:rPr>
          </w:pPr>
          <w:hyperlink w:anchor="_Toc15143765" w:history="1">
            <w:r w:rsidR="00F668B3" w:rsidRPr="00371AEE">
              <w:rPr>
                <w:rStyle w:val="Hyperlink"/>
                <w:rFonts w:cs="Times New Roman"/>
                <w:noProof/>
              </w:rPr>
              <w:t>The objective of the Study</w:t>
            </w:r>
            <w:r w:rsidR="00F668B3">
              <w:rPr>
                <w:noProof/>
                <w:webHidden/>
              </w:rPr>
              <w:tab/>
            </w:r>
            <w:r>
              <w:rPr>
                <w:noProof/>
                <w:webHidden/>
              </w:rPr>
              <w:fldChar w:fldCharType="begin"/>
            </w:r>
            <w:r w:rsidR="00F668B3">
              <w:rPr>
                <w:noProof/>
                <w:webHidden/>
              </w:rPr>
              <w:instrText xml:space="preserve"> PAGEREF _Toc15143765 \h </w:instrText>
            </w:r>
            <w:r>
              <w:rPr>
                <w:noProof/>
                <w:webHidden/>
              </w:rPr>
            </w:r>
            <w:r>
              <w:rPr>
                <w:noProof/>
                <w:webHidden/>
              </w:rPr>
              <w:fldChar w:fldCharType="separate"/>
            </w:r>
            <w:r w:rsidR="00F668B3">
              <w:rPr>
                <w:noProof/>
                <w:webHidden/>
              </w:rPr>
              <w:t>28</w:t>
            </w:r>
            <w:r>
              <w:rPr>
                <w:noProof/>
                <w:webHidden/>
              </w:rPr>
              <w:fldChar w:fldCharType="end"/>
            </w:r>
          </w:hyperlink>
        </w:p>
        <w:p w:rsidR="00F668B3" w:rsidRDefault="00492711">
          <w:pPr>
            <w:pStyle w:val="TOC1"/>
            <w:tabs>
              <w:tab w:val="right" w:leader="dot" w:pos="9350"/>
            </w:tabs>
            <w:rPr>
              <w:rFonts w:asciiTheme="minorHAnsi" w:eastAsiaTheme="minorEastAsia" w:hAnsiTheme="minorHAnsi"/>
              <w:noProof/>
              <w:sz w:val="22"/>
            </w:rPr>
          </w:pPr>
          <w:hyperlink w:anchor="_Toc15143766" w:history="1">
            <w:r w:rsidR="00F668B3" w:rsidRPr="00371AEE">
              <w:rPr>
                <w:rStyle w:val="Hyperlink"/>
                <w:rFonts w:cs="Times New Roman"/>
                <w:noProof/>
              </w:rPr>
              <w:t>Aim of the study</w:t>
            </w:r>
            <w:r w:rsidR="00F668B3">
              <w:rPr>
                <w:noProof/>
                <w:webHidden/>
              </w:rPr>
              <w:tab/>
            </w:r>
            <w:r>
              <w:rPr>
                <w:noProof/>
                <w:webHidden/>
              </w:rPr>
              <w:fldChar w:fldCharType="begin"/>
            </w:r>
            <w:r w:rsidR="00F668B3">
              <w:rPr>
                <w:noProof/>
                <w:webHidden/>
              </w:rPr>
              <w:instrText xml:space="preserve"> PAGEREF _Toc15143766 \h </w:instrText>
            </w:r>
            <w:r>
              <w:rPr>
                <w:noProof/>
                <w:webHidden/>
              </w:rPr>
            </w:r>
            <w:r>
              <w:rPr>
                <w:noProof/>
                <w:webHidden/>
              </w:rPr>
              <w:fldChar w:fldCharType="separate"/>
            </w:r>
            <w:r w:rsidR="00F668B3">
              <w:rPr>
                <w:noProof/>
                <w:webHidden/>
              </w:rPr>
              <w:t>29</w:t>
            </w:r>
            <w:r>
              <w:rPr>
                <w:noProof/>
                <w:webHidden/>
              </w:rPr>
              <w:fldChar w:fldCharType="end"/>
            </w:r>
          </w:hyperlink>
        </w:p>
        <w:p w:rsidR="00F668B3" w:rsidRDefault="00492711">
          <w:pPr>
            <w:pStyle w:val="TOC1"/>
            <w:tabs>
              <w:tab w:val="right" w:leader="dot" w:pos="9350"/>
            </w:tabs>
            <w:rPr>
              <w:rFonts w:asciiTheme="minorHAnsi" w:eastAsiaTheme="minorEastAsia" w:hAnsiTheme="minorHAnsi"/>
              <w:noProof/>
              <w:sz w:val="22"/>
            </w:rPr>
          </w:pPr>
          <w:hyperlink w:anchor="_Toc15143767" w:history="1">
            <w:r w:rsidR="00F668B3" w:rsidRPr="00371AEE">
              <w:rPr>
                <w:rStyle w:val="Hyperlink"/>
                <w:rFonts w:cs="Times New Roman"/>
                <w:noProof/>
              </w:rPr>
              <w:t>Research Methods</w:t>
            </w:r>
            <w:r w:rsidR="00F668B3">
              <w:rPr>
                <w:noProof/>
                <w:webHidden/>
              </w:rPr>
              <w:tab/>
            </w:r>
            <w:r>
              <w:rPr>
                <w:noProof/>
                <w:webHidden/>
              </w:rPr>
              <w:fldChar w:fldCharType="begin"/>
            </w:r>
            <w:r w:rsidR="00F668B3">
              <w:rPr>
                <w:noProof/>
                <w:webHidden/>
              </w:rPr>
              <w:instrText xml:space="preserve"> PAGEREF _Toc15143767 \h </w:instrText>
            </w:r>
            <w:r>
              <w:rPr>
                <w:noProof/>
                <w:webHidden/>
              </w:rPr>
            </w:r>
            <w:r>
              <w:rPr>
                <w:noProof/>
                <w:webHidden/>
              </w:rPr>
              <w:fldChar w:fldCharType="separate"/>
            </w:r>
            <w:r w:rsidR="00F668B3">
              <w:rPr>
                <w:noProof/>
                <w:webHidden/>
              </w:rPr>
              <w:t>29</w:t>
            </w:r>
            <w:r>
              <w:rPr>
                <w:noProof/>
                <w:webHidden/>
              </w:rPr>
              <w:fldChar w:fldCharType="end"/>
            </w:r>
          </w:hyperlink>
        </w:p>
        <w:p w:rsidR="00F668B3" w:rsidRDefault="00492711">
          <w:pPr>
            <w:pStyle w:val="TOC2"/>
            <w:tabs>
              <w:tab w:val="right" w:leader="dot" w:pos="9350"/>
            </w:tabs>
            <w:rPr>
              <w:rFonts w:asciiTheme="minorHAnsi" w:eastAsiaTheme="minorEastAsia" w:hAnsiTheme="minorHAnsi"/>
              <w:noProof/>
              <w:sz w:val="22"/>
            </w:rPr>
          </w:pPr>
          <w:hyperlink w:anchor="_Toc15143768" w:history="1">
            <w:r w:rsidR="00F668B3" w:rsidRPr="00371AEE">
              <w:rPr>
                <w:rStyle w:val="Hyperlink"/>
                <w:rFonts w:cs="Times New Roman"/>
                <w:noProof/>
              </w:rPr>
              <w:t>Research Design and Approach</w:t>
            </w:r>
            <w:r w:rsidR="00F668B3">
              <w:rPr>
                <w:noProof/>
                <w:webHidden/>
              </w:rPr>
              <w:tab/>
            </w:r>
            <w:r>
              <w:rPr>
                <w:noProof/>
                <w:webHidden/>
              </w:rPr>
              <w:fldChar w:fldCharType="begin"/>
            </w:r>
            <w:r w:rsidR="00F668B3">
              <w:rPr>
                <w:noProof/>
                <w:webHidden/>
              </w:rPr>
              <w:instrText xml:space="preserve"> PAGEREF _Toc15143768 \h </w:instrText>
            </w:r>
            <w:r>
              <w:rPr>
                <w:noProof/>
                <w:webHidden/>
              </w:rPr>
            </w:r>
            <w:r>
              <w:rPr>
                <w:noProof/>
                <w:webHidden/>
              </w:rPr>
              <w:fldChar w:fldCharType="separate"/>
            </w:r>
            <w:r w:rsidR="00F668B3">
              <w:rPr>
                <w:noProof/>
                <w:webHidden/>
              </w:rPr>
              <w:t>29</w:t>
            </w:r>
            <w:r>
              <w:rPr>
                <w:noProof/>
                <w:webHidden/>
              </w:rPr>
              <w:fldChar w:fldCharType="end"/>
            </w:r>
          </w:hyperlink>
        </w:p>
        <w:p w:rsidR="00F668B3" w:rsidRDefault="00492711">
          <w:pPr>
            <w:pStyle w:val="TOC2"/>
            <w:tabs>
              <w:tab w:val="right" w:leader="dot" w:pos="9350"/>
            </w:tabs>
            <w:rPr>
              <w:rFonts w:asciiTheme="minorHAnsi" w:eastAsiaTheme="minorEastAsia" w:hAnsiTheme="minorHAnsi"/>
              <w:noProof/>
              <w:sz w:val="22"/>
            </w:rPr>
          </w:pPr>
          <w:hyperlink w:anchor="_Toc15143769" w:history="1">
            <w:r w:rsidR="00F668B3" w:rsidRPr="00371AEE">
              <w:rPr>
                <w:rStyle w:val="Hyperlink"/>
                <w:rFonts w:cs="Times New Roman"/>
                <w:noProof/>
              </w:rPr>
              <w:t>Setting and Population of the Study</w:t>
            </w:r>
            <w:r w:rsidR="00F668B3">
              <w:rPr>
                <w:noProof/>
                <w:webHidden/>
              </w:rPr>
              <w:tab/>
            </w:r>
            <w:r>
              <w:rPr>
                <w:noProof/>
                <w:webHidden/>
              </w:rPr>
              <w:fldChar w:fldCharType="begin"/>
            </w:r>
            <w:r w:rsidR="00F668B3">
              <w:rPr>
                <w:noProof/>
                <w:webHidden/>
              </w:rPr>
              <w:instrText xml:space="preserve"> PAGEREF _Toc15143769 \h </w:instrText>
            </w:r>
            <w:r>
              <w:rPr>
                <w:noProof/>
                <w:webHidden/>
              </w:rPr>
            </w:r>
            <w:r>
              <w:rPr>
                <w:noProof/>
                <w:webHidden/>
              </w:rPr>
              <w:fldChar w:fldCharType="separate"/>
            </w:r>
            <w:r w:rsidR="00F668B3">
              <w:rPr>
                <w:noProof/>
                <w:webHidden/>
              </w:rPr>
              <w:t>29</w:t>
            </w:r>
            <w:r>
              <w:rPr>
                <w:noProof/>
                <w:webHidden/>
              </w:rPr>
              <w:fldChar w:fldCharType="end"/>
            </w:r>
          </w:hyperlink>
        </w:p>
        <w:p w:rsidR="00F668B3" w:rsidRDefault="00492711">
          <w:pPr>
            <w:pStyle w:val="TOC2"/>
            <w:tabs>
              <w:tab w:val="right" w:leader="dot" w:pos="9350"/>
            </w:tabs>
            <w:rPr>
              <w:rFonts w:asciiTheme="minorHAnsi" w:eastAsiaTheme="minorEastAsia" w:hAnsiTheme="minorHAnsi"/>
              <w:noProof/>
              <w:sz w:val="22"/>
            </w:rPr>
          </w:pPr>
          <w:hyperlink w:anchor="_Toc15143770" w:history="1">
            <w:r w:rsidR="00F668B3" w:rsidRPr="00371AEE">
              <w:rPr>
                <w:rStyle w:val="Hyperlink"/>
                <w:rFonts w:cs="Times New Roman"/>
                <w:noProof/>
              </w:rPr>
              <w:t>Data Collection</w:t>
            </w:r>
            <w:r w:rsidR="00F668B3">
              <w:rPr>
                <w:noProof/>
                <w:webHidden/>
              </w:rPr>
              <w:tab/>
            </w:r>
            <w:r>
              <w:rPr>
                <w:noProof/>
                <w:webHidden/>
              </w:rPr>
              <w:fldChar w:fldCharType="begin"/>
            </w:r>
            <w:r w:rsidR="00F668B3">
              <w:rPr>
                <w:noProof/>
                <w:webHidden/>
              </w:rPr>
              <w:instrText xml:space="preserve"> PAGEREF _Toc15143770 \h </w:instrText>
            </w:r>
            <w:r>
              <w:rPr>
                <w:noProof/>
                <w:webHidden/>
              </w:rPr>
            </w:r>
            <w:r>
              <w:rPr>
                <w:noProof/>
                <w:webHidden/>
              </w:rPr>
              <w:fldChar w:fldCharType="separate"/>
            </w:r>
            <w:r w:rsidR="00F668B3">
              <w:rPr>
                <w:noProof/>
                <w:webHidden/>
              </w:rPr>
              <w:t>30</w:t>
            </w:r>
            <w:r>
              <w:rPr>
                <w:noProof/>
                <w:webHidden/>
              </w:rPr>
              <w:fldChar w:fldCharType="end"/>
            </w:r>
          </w:hyperlink>
        </w:p>
        <w:p w:rsidR="00F668B3" w:rsidRDefault="00492711">
          <w:pPr>
            <w:pStyle w:val="TOC2"/>
            <w:tabs>
              <w:tab w:val="right" w:leader="dot" w:pos="9350"/>
            </w:tabs>
            <w:rPr>
              <w:rFonts w:asciiTheme="minorHAnsi" w:eastAsiaTheme="minorEastAsia" w:hAnsiTheme="minorHAnsi"/>
              <w:noProof/>
              <w:sz w:val="22"/>
            </w:rPr>
          </w:pPr>
          <w:hyperlink w:anchor="_Toc15143771" w:history="1">
            <w:r w:rsidR="00F668B3" w:rsidRPr="00371AEE">
              <w:rPr>
                <w:rStyle w:val="Hyperlink"/>
                <w:rFonts w:eastAsia="Times New Roman" w:cs="Times New Roman"/>
                <w:noProof/>
              </w:rPr>
              <w:t>Definition and classification of medication discrepancies and errors</w:t>
            </w:r>
            <w:r w:rsidR="00F668B3">
              <w:rPr>
                <w:noProof/>
                <w:webHidden/>
              </w:rPr>
              <w:tab/>
            </w:r>
            <w:r>
              <w:rPr>
                <w:noProof/>
                <w:webHidden/>
              </w:rPr>
              <w:fldChar w:fldCharType="begin"/>
            </w:r>
            <w:r w:rsidR="00F668B3">
              <w:rPr>
                <w:noProof/>
                <w:webHidden/>
              </w:rPr>
              <w:instrText xml:space="preserve"> PAGEREF _Toc15143771 \h </w:instrText>
            </w:r>
            <w:r>
              <w:rPr>
                <w:noProof/>
                <w:webHidden/>
              </w:rPr>
            </w:r>
            <w:r>
              <w:rPr>
                <w:noProof/>
                <w:webHidden/>
              </w:rPr>
              <w:fldChar w:fldCharType="separate"/>
            </w:r>
            <w:r w:rsidR="00F668B3">
              <w:rPr>
                <w:noProof/>
                <w:webHidden/>
              </w:rPr>
              <w:t>32</w:t>
            </w:r>
            <w:r>
              <w:rPr>
                <w:noProof/>
                <w:webHidden/>
              </w:rPr>
              <w:fldChar w:fldCharType="end"/>
            </w:r>
          </w:hyperlink>
        </w:p>
        <w:p w:rsidR="00F668B3" w:rsidRDefault="00492711">
          <w:pPr>
            <w:pStyle w:val="TOC2"/>
            <w:tabs>
              <w:tab w:val="right" w:leader="dot" w:pos="9350"/>
            </w:tabs>
            <w:rPr>
              <w:rFonts w:asciiTheme="minorHAnsi" w:eastAsiaTheme="minorEastAsia" w:hAnsiTheme="minorHAnsi"/>
              <w:noProof/>
              <w:sz w:val="22"/>
            </w:rPr>
          </w:pPr>
          <w:hyperlink w:anchor="_Toc15143772" w:history="1">
            <w:r w:rsidR="00F668B3" w:rsidRPr="00371AEE">
              <w:rPr>
                <w:rStyle w:val="Hyperlink"/>
                <w:rFonts w:cs="Times New Roman"/>
                <w:noProof/>
              </w:rPr>
              <w:t>Study Variables</w:t>
            </w:r>
            <w:r w:rsidR="00F668B3">
              <w:rPr>
                <w:noProof/>
                <w:webHidden/>
              </w:rPr>
              <w:tab/>
            </w:r>
            <w:r>
              <w:rPr>
                <w:noProof/>
                <w:webHidden/>
              </w:rPr>
              <w:fldChar w:fldCharType="begin"/>
            </w:r>
            <w:r w:rsidR="00F668B3">
              <w:rPr>
                <w:noProof/>
                <w:webHidden/>
              </w:rPr>
              <w:instrText xml:space="preserve"> PAGEREF _Toc15143772 \h </w:instrText>
            </w:r>
            <w:r>
              <w:rPr>
                <w:noProof/>
                <w:webHidden/>
              </w:rPr>
            </w:r>
            <w:r>
              <w:rPr>
                <w:noProof/>
                <w:webHidden/>
              </w:rPr>
              <w:fldChar w:fldCharType="separate"/>
            </w:r>
            <w:r w:rsidR="00F668B3">
              <w:rPr>
                <w:noProof/>
                <w:webHidden/>
              </w:rPr>
              <w:t>34</w:t>
            </w:r>
            <w:r>
              <w:rPr>
                <w:noProof/>
                <w:webHidden/>
              </w:rPr>
              <w:fldChar w:fldCharType="end"/>
            </w:r>
          </w:hyperlink>
        </w:p>
        <w:p w:rsidR="00F668B3" w:rsidRDefault="00492711">
          <w:pPr>
            <w:pStyle w:val="TOC2"/>
            <w:tabs>
              <w:tab w:val="right" w:leader="dot" w:pos="9350"/>
            </w:tabs>
            <w:rPr>
              <w:rFonts w:asciiTheme="minorHAnsi" w:eastAsiaTheme="minorEastAsia" w:hAnsiTheme="minorHAnsi"/>
              <w:noProof/>
              <w:sz w:val="22"/>
            </w:rPr>
          </w:pPr>
          <w:hyperlink w:anchor="_Toc15143773" w:history="1">
            <w:r w:rsidR="00F668B3" w:rsidRPr="00371AEE">
              <w:rPr>
                <w:rStyle w:val="Hyperlink"/>
                <w:rFonts w:cs="Times New Roman"/>
                <w:noProof/>
              </w:rPr>
              <w:t>Statistical Analysis</w:t>
            </w:r>
            <w:r w:rsidR="00F668B3">
              <w:rPr>
                <w:noProof/>
                <w:webHidden/>
              </w:rPr>
              <w:tab/>
            </w:r>
            <w:r>
              <w:rPr>
                <w:noProof/>
                <w:webHidden/>
              </w:rPr>
              <w:fldChar w:fldCharType="begin"/>
            </w:r>
            <w:r w:rsidR="00F668B3">
              <w:rPr>
                <w:noProof/>
                <w:webHidden/>
              </w:rPr>
              <w:instrText xml:space="preserve"> PAGEREF _Toc15143773 \h </w:instrText>
            </w:r>
            <w:r>
              <w:rPr>
                <w:noProof/>
                <w:webHidden/>
              </w:rPr>
            </w:r>
            <w:r>
              <w:rPr>
                <w:noProof/>
                <w:webHidden/>
              </w:rPr>
              <w:fldChar w:fldCharType="separate"/>
            </w:r>
            <w:r w:rsidR="00F668B3">
              <w:rPr>
                <w:noProof/>
                <w:webHidden/>
              </w:rPr>
              <w:t>34</w:t>
            </w:r>
            <w:r>
              <w:rPr>
                <w:noProof/>
                <w:webHidden/>
              </w:rPr>
              <w:fldChar w:fldCharType="end"/>
            </w:r>
          </w:hyperlink>
        </w:p>
        <w:p w:rsidR="00F668B3" w:rsidRDefault="00492711">
          <w:pPr>
            <w:pStyle w:val="TOC1"/>
            <w:tabs>
              <w:tab w:val="right" w:leader="dot" w:pos="9350"/>
            </w:tabs>
            <w:rPr>
              <w:rFonts w:asciiTheme="minorHAnsi" w:eastAsiaTheme="minorEastAsia" w:hAnsiTheme="minorHAnsi"/>
              <w:noProof/>
              <w:sz w:val="22"/>
            </w:rPr>
          </w:pPr>
          <w:hyperlink w:anchor="_Toc15143774" w:history="1">
            <w:r w:rsidR="00F668B3" w:rsidRPr="00371AEE">
              <w:rPr>
                <w:rStyle w:val="Hyperlink"/>
                <w:rFonts w:cs="Times New Roman"/>
                <w:noProof/>
              </w:rPr>
              <w:t>Results</w:t>
            </w:r>
            <w:r w:rsidR="00F668B3">
              <w:rPr>
                <w:noProof/>
                <w:webHidden/>
              </w:rPr>
              <w:tab/>
            </w:r>
            <w:r>
              <w:rPr>
                <w:noProof/>
                <w:webHidden/>
              </w:rPr>
              <w:fldChar w:fldCharType="begin"/>
            </w:r>
            <w:r w:rsidR="00F668B3">
              <w:rPr>
                <w:noProof/>
                <w:webHidden/>
              </w:rPr>
              <w:instrText xml:space="preserve"> PAGEREF _Toc15143774 \h </w:instrText>
            </w:r>
            <w:r>
              <w:rPr>
                <w:noProof/>
                <w:webHidden/>
              </w:rPr>
            </w:r>
            <w:r>
              <w:rPr>
                <w:noProof/>
                <w:webHidden/>
              </w:rPr>
              <w:fldChar w:fldCharType="separate"/>
            </w:r>
            <w:r w:rsidR="00F668B3">
              <w:rPr>
                <w:noProof/>
                <w:webHidden/>
              </w:rPr>
              <w:t>35</w:t>
            </w:r>
            <w:r>
              <w:rPr>
                <w:noProof/>
                <w:webHidden/>
              </w:rPr>
              <w:fldChar w:fldCharType="end"/>
            </w:r>
          </w:hyperlink>
        </w:p>
        <w:p w:rsidR="00F668B3" w:rsidRDefault="00492711">
          <w:pPr>
            <w:pStyle w:val="TOC2"/>
            <w:tabs>
              <w:tab w:val="right" w:leader="dot" w:pos="9350"/>
            </w:tabs>
            <w:rPr>
              <w:rFonts w:asciiTheme="minorHAnsi" w:eastAsiaTheme="minorEastAsia" w:hAnsiTheme="minorHAnsi"/>
              <w:noProof/>
              <w:sz w:val="22"/>
            </w:rPr>
          </w:pPr>
          <w:hyperlink w:anchor="_Toc15143775" w:history="1">
            <w:r w:rsidR="00F668B3" w:rsidRPr="00371AEE">
              <w:rPr>
                <w:rStyle w:val="Hyperlink"/>
                <w:rFonts w:cs="Times New Roman"/>
                <w:noProof/>
              </w:rPr>
              <w:t>Description of the Study Sample</w:t>
            </w:r>
            <w:r w:rsidR="00F668B3">
              <w:rPr>
                <w:noProof/>
                <w:webHidden/>
              </w:rPr>
              <w:tab/>
            </w:r>
            <w:r>
              <w:rPr>
                <w:noProof/>
                <w:webHidden/>
              </w:rPr>
              <w:fldChar w:fldCharType="begin"/>
            </w:r>
            <w:r w:rsidR="00F668B3">
              <w:rPr>
                <w:noProof/>
                <w:webHidden/>
              </w:rPr>
              <w:instrText xml:space="preserve"> PAGEREF _Toc15143775 \h </w:instrText>
            </w:r>
            <w:r>
              <w:rPr>
                <w:noProof/>
                <w:webHidden/>
              </w:rPr>
            </w:r>
            <w:r>
              <w:rPr>
                <w:noProof/>
                <w:webHidden/>
              </w:rPr>
              <w:fldChar w:fldCharType="separate"/>
            </w:r>
            <w:r w:rsidR="00F668B3">
              <w:rPr>
                <w:noProof/>
                <w:webHidden/>
              </w:rPr>
              <w:t>35</w:t>
            </w:r>
            <w:r>
              <w:rPr>
                <w:noProof/>
                <w:webHidden/>
              </w:rPr>
              <w:fldChar w:fldCharType="end"/>
            </w:r>
          </w:hyperlink>
        </w:p>
        <w:p w:rsidR="00F668B3" w:rsidRDefault="00492711">
          <w:pPr>
            <w:pStyle w:val="TOC2"/>
            <w:tabs>
              <w:tab w:val="right" w:leader="dot" w:pos="9350"/>
            </w:tabs>
            <w:rPr>
              <w:rFonts w:asciiTheme="minorHAnsi" w:eastAsiaTheme="minorEastAsia" w:hAnsiTheme="minorHAnsi"/>
              <w:noProof/>
              <w:sz w:val="22"/>
            </w:rPr>
          </w:pPr>
          <w:hyperlink w:anchor="_Toc15143776" w:history="1">
            <w:r w:rsidR="00F668B3" w:rsidRPr="00371AEE">
              <w:rPr>
                <w:rStyle w:val="Hyperlink"/>
                <w:rFonts w:cs="Times New Roman"/>
                <w:noProof/>
              </w:rPr>
              <w:t>Logistic Regression Results for Risk Factors</w:t>
            </w:r>
            <w:r w:rsidR="00F668B3">
              <w:rPr>
                <w:noProof/>
                <w:webHidden/>
              </w:rPr>
              <w:tab/>
            </w:r>
            <w:r>
              <w:rPr>
                <w:noProof/>
                <w:webHidden/>
              </w:rPr>
              <w:fldChar w:fldCharType="begin"/>
            </w:r>
            <w:r w:rsidR="00F668B3">
              <w:rPr>
                <w:noProof/>
                <w:webHidden/>
              </w:rPr>
              <w:instrText xml:space="preserve"> PAGEREF _Toc15143776 \h </w:instrText>
            </w:r>
            <w:r>
              <w:rPr>
                <w:noProof/>
                <w:webHidden/>
              </w:rPr>
            </w:r>
            <w:r>
              <w:rPr>
                <w:noProof/>
                <w:webHidden/>
              </w:rPr>
              <w:fldChar w:fldCharType="separate"/>
            </w:r>
            <w:r w:rsidR="00F668B3">
              <w:rPr>
                <w:noProof/>
                <w:webHidden/>
              </w:rPr>
              <w:t>41</w:t>
            </w:r>
            <w:r>
              <w:rPr>
                <w:noProof/>
                <w:webHidden/>
              </w:rPr>
              <w:fldChar w:fldCharType="end"/>
            </w:r>
          </w:hyperlink>
        </w:p>
        <w:p w:rsidR="00F668B3" w:rsidRDefault="00492711">
          <w:pPr>
            <w:pStyle w:val="TOC2"/>
            <w:tabs>
              <w:tab w:val="right" w:leader="dot" w:pos="9350"/>
            </w:tabs>
            <w:rPr>
              <w:rFonts w:asciiTheme="minorHAnsi" w:eastAsiaTheme="minorEastAsia" w:hAnsiTheme="minorHAnsi"/>
              <w:noProof/>
              <w:sz w:val="22"/>
            </w:rPr>
          </w:pPr>
          <w:hyperlink w:anchor="_Toc15143777" w:history="1">
            <w:r w:rsidR="00F668B3" w:rsidRPr="00371AEE">
              <w:rPr>
                <w:rStyle w:val="Hyperlink"/>
                <w:rFonts w:cs="Times New Roman"/>
                <w:noProof/>
              </w:rPr>
              <w:t>Discussion</w:t>
            </w:r>
            <w:r w:rsidR="00F668B3">
              <w:rPr>
                <w:noProof/>
                <w:webHidden/>
              </w:rPr>
              <w:tab/>
            </w:r>
            <w:r>
              <w:rPr>
                <w:noProof/>
                <w:webHidden/>
              </w:rPr>
              <w:fldChar w:fldCharType="begin"/>
            </w:r>
            <w:r w:rsidR="00F668B3">
              <w:rPr>
                <w:noProof/>
                <w:webHidden/>
              </w:rPr>
              <w:instrText xml:space="preserve"> PAGEREF _Toc15143777 \h </w:instrText>
            </w:r>
            <w:r>
              <w:rPr>
                <w:noProof/>
                <w:webHidden/>
              </w:rPr>
            </w:r>
            <w:r>
              <w:rPr>
                <w:noProof/>
                <w:webHidden/>
              </w:rPr>
              <w:fldChar w:fldCharType="separate"/>
            </w:r>
            <w:r w:rsidR="00F668B3">
              <w:rPr>
                <w:noProof/>
                <w:webHidden/>
              </w:rPr>
              <w:t>42</w:t>
            </w:r>
            <w:r>
              <w:rPr>
                <w:noProof/>
                <w:webHidden/>
              </w:rPr>
              <w:fldChar w:fldCharType="end"/>
            </w:r>
          </w:hyperlink>
        </w:p>
        <w:p w:rsidR="00F668B3" w:rsidRDefault="00492711">
          <w:pPr>
            <w:pStyle w:val="TOC2"/>
            <w:tabs>
              <w:tab w:val="right" w:leader="dot" w:pos="9350"/>
            </w:tabs>
            <w:rPr>
              <w:rFonts w:asciiTheme="minorHAnsi" w:eastAsiaTheme="minorEastAsia" w:hAnsiTheme="minorHAnsi"/>
              <w:noProof/>
              <w:sz w:val="22"/>
            </w:rPr>
          </w:pPr>
          <w:hyperlink w:anchor="_Toc15143778" w:history="1">
            <w:r w:rsidR="00F668B3" w:rsidRPr="00371AEE">
              <w:rPr>
                <w:rStyle w:val="Hyperlink"/>
                <w:rFonts w:cs="Times New Roman"/>
                <w:noProof/>
              </w:rPr>
              <w:t>Limitations of the Study</w:t>
            </w:r>
            <w:r w:rsidR="00F668B3">
              <w:rPr>
                <w:noProof/>
                <w:webHidden/>
              </w:rPr>
              <w:tab/>
            </w:r>
            <w:r>
              <w:rPr>
                <w:noProof/>
                <w:webHidden/>
              </w:rPr>
              <w:fldChar w:fldCharType="begin"/>
            </w:r>
            <w:r w:rsidR="00F668B3">
              <w:rPr>
                <w:noProof/>
                <w:webHidden/>
              </w:rPr>
              <w:instrText xml:space="preserve"> PAGEREF _Toc15143778 \h </w:instrText>
            </w:r>
            <w:r>
              <w:rPr>
                <w:noProof/>
                <w:webHidden/>
              </w:rPr>
            </w:r>
            <w:r>
              <w:rPr>
                <w:noProof/>
                <w:webHidden/>
              </w:rPr>
              <w:fldChar w:fldCharType="separate"/>
            </w:r>
            <w:r w:rsidR="00F668B3">
              <w:rPr>
                <w:noProof/>
                <w:webHidden/>
              </w:rPr>
              <w:t>46</w:t>
            </w:r>
            <w:r>
              <w:rPr>
                <w:noProof/>
                <w:webHidden/>
              </w:rPr>
              <w:fldChar w:fldCharType="end"/>
            </w:r>
          </w:hyperlink>
        </w:p>
        <w:p w:rsidR="00F668B3" w:rsidRDefault="00492711">
          <w:pPr>
            <w:pStyle w:val="TOC2"/>
            <w:tabs>
              <w:tab w:val="right" w:leader="dot" w:pos="9350"/>
            </w:tabs>
            <w:rPr>
              <w:rFonts w:asciiTheme="minorHAnsi" w:eastAsiaTheme="minorEastAsia" w:hAnsiTheme="minorHAnsi"/>
              <w:noProof/>
              <w:sz w:val="22"/>
            </w:rPr>
          </w:pPr>
          <w:hyperlink w:anchor="_Toc15143779" w:history="1">
            <w:r w:rsidR="00F668B3" w:rsidRPr="00371AEE">
              <w:rPr>
                <w:rStyle w:val="Hyperlink"/>
                <w:rFonts w:cs="Times New Roman"/>
                <w:noProof/>
              </w:rPr>
              <w:t>Conclusions</w:t>
            </w:r>
            <w:r w:rsidR="00F668B3">
              <w:rPr>
                <w:noProof/>
                <w:webHidden/>
              </w:rPr>
              <w:tab/>
            </w:r>
            <w:r>
              <w:rPr>
                <w:noProof/>
                <w:webHidden/>
              </w:rPr>
              <w:fldChar w:fldCharType="begin"/>
            </w:r>
            <w:r w:rsidR="00F668B3">
              <w:rPr>
                <w:noProof/>
                <w:webHidden/>
              </w:rPr>
              <w:instrText xml:space="preserve"> PAGEREF _Toc15143779 \h </w:instrText>
            </w:r>
            <w:r>
              <w:rPr>
                <w:noProof/>
                <w:webHidden/>
              </w:rPr>
            </w:r>
            <w:r>
              <w:rPr>
                <w:noProof/>
                <w:webHidden/>
              </w:rPr>
              <w:fldChar w:fldCharType="separate"/>
            </w:r>
            <w:r w:rsidR="00F668B3">
              <w:rPr>
                <w:noProof/>
                <w:webHidden/>
              </w:rPr>
              <w:t>46</w:t>
            </w:r>
            <w:r>
              <w:rPr>
                <w:noProof/>
                <w:webHidden/>
              </w:rPr>
              <w:fldChar w:fldCharType="end"/>
            </w:r>
          </w:hyperlink>
        </w:p>
        <w:p w:rsidR="00F668B3" w:rsidRDefault="00492711">
          <w:pPr>
            <w:pStyle w:val="TOC1"/>
            <w:tabs>
              <w:tab w:val="right" w:leader="dot" w:pos="9350"/>
            </w:tabs>
            <w:rPr>
              <w:rFonts w:asciiTheme="minorHAnsi" w:eastAsiaTheme="minorEastAsia" w:hAnsiTheme="minorHAnsi"/>
              <w:noProof/>
              <w:sz w:val="22"/>
            </w:rPr>
          </w:pPr>
          <w:hyperlink w:anchor="_Toc15143780" w:history="1">
            <w:r w:rsidR="00F668B3" w:rsidRPr="00371AEE">
              <w:rPr>
                <w:rStyle w:val="Hyperlink"/>
                <w:rFonts w:cs="Times New Roman"/>
                <w:noProof/>
              </w:rPr>
              <w:t>References</w:t>
            </w:r>
            <w:r w:rsidR="00F668B3">
              <w:rPr>
                <w:noProof/>
                <w:webHidden/>
              </w:rPr>
              <w:tab/>
            </w:r>
            <w:r>
              <w:rPr>
                <w:noProof/>
                <w:webHidden/>
              </w:rPr>
              <w:fldChar w:fldCharType="begin"/>
            </w:r>
            <w:r w:rsidR="00F668B3">
              <w:rPr>
                <w:noProof/>
                <w:webHidden/>
              </w:rPr>
              <w:instrText xml:space="preserve"> PAGEREF _Toc15143780 \h </w:instrText>
            </w:r>
            <w:r>
              <w:rPr>
                <w:noProof/>
                <w:webHidden/>
              </w:rPr>
            </w:r>
            <w:r>
              <w:rPr>
                <w:noProof/>
                <w:webHidden/>
              </w:rPr>
              <w:fldChar w:fldCharType="separate"/>
            </w:r>
            <w:r w:rsidR="00F668B3">
              <w:rPr>
                <w:noProof/>
                <w:webHidden/>
              </w:rPr>
              <w:t>48</w:t>
            </w:r>
            <w:r>
              <w:rPr>
                <w:noProof/>
                <w:webHidden/>
              </w:rPr>
              <w:fldChar w:fldCharType="end"/>
            </w:r>
          </w:hyperlink>
        </w:p>
        <w:p w:rsidR="00F668B3" w:rsidRDefault="00492711">
          <w:pPr>
            <w:pStyle w:val="TOC1"/>
            <w:tabs>
              <w:tab w:val="right" w:leader="dot" w:pos="9350"/>
            </w:tabs>
            <w:rPr>
              <w:rFonts w:asciiTheme="minorHAnsi" w:eastAsiaTheme="minorEastAsia" w:hAnsiTheme="minorHAnsi"/>
              <w:noProof/>
              <w:sz w:val="22"/>
            </w:rPr>
          </w:pPr>
          <w:hyperlink w:anchor="_Toc15143781" w:history="1">
            <w:r w:rsidR="00F668B3" w:rsidRPr="00371AEE">
              <w:rPr>
                <w:rStyle w:val="Hyperlink"/>
                <w:rFonts w:cs="Times New Roman"/>
                <w:noProof/>
                <w:lang w:bidi="ar-EG"/>
              </w:rPr>
              <w:t>Appendices</w:t>
            </w:r>
            <w:r w:rsidR="00F668B3">
              <w:rPr>
                <w:noProof/>
                <w:webHidden/>
              </w:rPr>
              <w:tab/>
            </w:r>
            <w:r>
              <w:rPr>
                <w:noProof/>
                <w:webHidden/>
              </w:rPr>
              <w:fldChar w:fldCharType="begin"/>
            </w:r>
            <w:r w:rsidR="00F668B3">
              <w:rPr>
                <w:noProof/>
                <w:webHidden/>
              </w:rPr>
              <w:instrText xml:space="preserve"> PAGEREF _Toc15143781 \h </w:instrText>
            </w:r>
            <w:r>
              <w:rPr>
                <w:noProof/>
                <w:webHidden/>
              </w:rPr>
            </w:r>
            <w:r>
              <w:rPr>
                <w:noProof/>
                <w:webHidden/>
              </w:rPr>
              <w:fldChar w:fldCharType="separate"/>
            </w:r>
            <w:r w:rsidR="00F668B3">
              <w:rPr>
                <w:noProof/>
                <w:webHidden/>
              </w:rPr>
              <w:t>53</w:t>
            </w:r>
            <w:r>
              <w:rPr>
                <w:noProof/>
                <w:webHidden/>
              </w:rPr>
              <w:fldChar w:fldCharType="end"/>
            </w:r>
          </w:hyperlink>
        </w:p>
        <w:p w:rsidR="00171C0D" w:rsidRPr="00B22946" w:rsidRDefault="00492711" w:rsidP="00B22946">
          <w:pPr>
            <w:spacing w:line="480" w:lineRule="auto"/>
            <w:rPr>
              <w:rFonts w:cs="Times New Roman"/>
              <w:szCs w:val="24"/>
            </w:rPr>
          </w:pPr>
          <w:r w:rsidRPr="00B22946">
            <w:rPr>
              <w:rFonts w:cs="Times New Roman"/>
              <w:szCs w:val="24"/>
            </w:rPr>
            <w:fldChar w:fldCharType="end"/>
          </w:r>
        </w:p>
      </w:sdtContent>
    </w:sdt>
    <w:p w:rsidR="00DC39EA" w:rsidRPr="00B22946" w:rsidRDefault="00171C0D" w:rsidP="008B4835">
      <w:pPr>
        <w:spacing w:line="480" w:lineRule="auto"/>
        <w:jc w:val="center"/>
        <w:rPr>
          <w:rFonts w:eastAsiaTheme="majorEastAsia" w:cs="Times New Roman"/>
          <w:b/>
          <w:bCs/>
          <w:szCs w:val="24"/>
        </w:rPr>
      </w:pPr>
      <w:r w:rsidRPr="00B22946">
        <w:rPr>
          <w:rFonts w:cs="Times New Roman"/>
          <w:szCs w:val="24"/>
        </w:rPr>
        <w:br w:type="page"/>
      </w:r>
    </w:p>
    <w:p w:rsidR="00767B61" w:rsidRPr="00632C47" w:rsidRDefault="00767B61" w:rsidP="00632C47">
      <w:pPr>
        <w:pStyle w:val="Heading1"/>
        <w:spacing w:line="480" w:lineRule="auto"/>
        <w:jc w:val="center"/>
        <w:rPr>
          <w:rFonts w:ascii="Times New Roman" w:hAnsi="Times New Roman" w:cs="Times New Roman"/>
          <w:color w:val="auto"/>
          <w:sz w:val="24"/>
          <w:szCs w:val="24"/>
        </w:rPr>
      </w:pPr>
      <w:r w:rsidRPr="00632C47">
        <w:rPr>
          <w:rFonts w:ascii="Times New Roman" w:hAnsi="Times New Roman" w:cs="Times New Roman"/>
          <w:color w:val="auto"/>
          <w:sz w:val="24"/>
          <w:szCs w:val="24"/>
        </w:rPr>
        <w:t>Abstract</w:t>
      </w:r>
    </w:p>
    <w:p w:rsidR="006005B6" w:rsidRDefault="006005B6" w:rsidP="00B22946">
      <w:pPr>
        <w:spacing w:line="480" w:lineRule="auto"/>
        <w:rPr>
          <w:rFonts w:cs="Times New Roman"/>
          <w:bCs/>
          <w:szCs w:val="24"/>
        </w:rPr>
      </w:pPr>
      <w:r w:rsidRPr="006005B6">
        <w:rPr>
          <w:rFonts w:cs="Times New Roman"/>
          <w:b/>
          <w:bCs/>
          <w:szCs w:val="24"/>
        </w:rPr>
        <w:t>Title:</w:t>
      </w:r>
      <w:r>
        <w:rPr>
          <w:rFonts w:cs="Times New Roman"/>
          <w:bCs/>
          <w:szCs w:val="24"/>
        </w:rPr>
        <w:t xml:space="preserve"> </w:t>
      </w:r>
      <w:r w:rsidRPr="006005B6">
        <w:rPr>
          <w:rFonts w:cs="Times New Roman"/>
          <w:bCs/>
          <w:szCs w:val="24"/>
        </w:rPr>
        <w:t>A Study of the Medication History Taken at Admission of Patients to Hamad General Hospital and the Prevalence of Medication Discrepancies</w:t>
      </w:r>
    </w:p>
    <w:p w:rsidR="006005B6" w:rsidRDefault="006005B6" w:rsidP="00B22946">
      <w:pPr>
        <w:spacing w:line="480" w:lineRule="auto"/>
        <w:rPr>
          <w:rFonts w:cs="Times New Roman"/>
          <w:bCs/>
          <w:color w:val="000000" w:themeColor="text1"/>
          <w:szCs w:val="24"/>
        </w:rPr>
      </w:pPr>
      <w:r w:rsidRPr="006005B6">
        <w:rPr>
          <w:rFonts w:cs="Times New Roman"/>
          <w:b/>
          <w:bCs/>
          <w:szCs w:val="24"/>
        </w:rPr>
        <w:t xml:space="preserve">Objective: </w:t>
      </w:r>
      <w:r>
        <w:rPr>
          <w:rFonts w:cs="Times New Roman"/>
          <w:bCs/>
          <w:szCs w:val="24"/>
        </w:rPr>
        <w:t xml:space="preserve">to </w:t>
      </w:r>
      <w:r w:rsidR="00B2546B" w:rsidRPr="00B22946">
        <w:rPr>
          <w:rFonts w:cs="Times New Roman"/>
          <w:bCs/>
          <w:szCs w:val="24"/>
        </w:rPr>
        <w:t xml:space="preserve">evaluate the prevalence of errors in medication history at </w:t>
      </w:r>
      <w:r w:rsidR="00332FBE" w:rsidRPr="00B22946">
        <w:rPr>
          <w:rFonts w:cs="Times New Roman"/>
          <w:bCs/>
          <w:szCs w:val="24"/>
        </w:rPr>
        <w:t xml:space="preserve">admission </w:t>
      </w:r>
      <w:r w:rsidR="00420520" w:rsidRPr="00B22946">
        <w:rPr>
          <w:rFonts w:cs="Times New Roman"/>
          <w:bCs/>
          <w:szCs w:val="24"/>
        </w:rPr>
        <w:t xml:space="preserve">to the </w:t>
      </w:r>
      <w:r w:rsidR="00332FBE" w:rsidRPr="00F668B3">
        <w:rPr>
          <w:rFonts w:cs="Times New Roman"/>
          <w:bCs/>
          <w:color w:val="000000" w:themeColor="text1"/>
          <w:szCs w:val="24"/>
        </w:rPr>
        <w:t>Surgical U</w:t>
      </w:r>
      <w:r w:rsidR="00301166">
        <w:rPr>
          <w:rFonts w:cs="Times New Roman"/>
          <w:bCs/>
          <w:color w:val="000000" w:themeColor="text1"/>
          <w:szCs w:val="24"/>
        </w:rPr>
        <w:t xml:space="preserve">nit of </w:t>
      </w:r>
      <w:r w:rsidR="00420520" w:rsidRPr="00F668B3">
        <w:rPr>
          <w:rFonts w:cs="Times New Roman"/>
          <w:bCs/>
          <w:color w:val="000000" w:themeColor="text1"/>
          <w:szCs w:val="24"/>
        </w:rPr>
        <w:t>Hamad General Hospital</w:t>
      </w:r>
    </w:p>
    <w:p w:rsidR="006005B6" w:rsidRDefault="006005B6" w:rsidP="00B22946">
      <w:pPr>
        <w:spacing w:line="480" w:lineRule="auto"/>
        <w:rPr>
          <w:rFonts w:cs="Times New Roman"/>
          <w:bCs/>
          <w:color w:val="000000" w:themeColor="text1"/>
          <w:szCs w:val="24"/>
        </w:rPr>
      </w:pPr>
      <w:r w:rsidRPr="0034564C">
        <w:rPr>
          <w:rFonts w:cs="Times New Roman"/>
          <w:b/>
          <w:bCs/>
          <w:color w:val="000000" w:themeColor="text1"/>
          <w:szCs w:val="24"/>
        </w:rPr>
        <w:t>Design:</w:t>
      </w:r>
      <w:r w:rsidR="008B64F4" w:rsidRPr="0034564C">
        <w:rPr>
          <w:rFonts w:cs="Times New Roman"/>
          <w:b/>
          <w:bCs/>
          <w:color w:val="000000" w:themeColor="text1"/>
          <w:szCs w:val="24"/>
        </w:rPr>
        <w:t xml:space="preserve"> </w:t>
      </w:r>
      <w:r w:rsidR="008B64F4">
        <w:rPr>
          <w:rFonts w:cs="Times New Roman"/>
          <w:bCs/>
          <w:color w:val="000000" w:themeColor="text1"/>
          <w:szCs w:val="24"/>
        </w:rPr>
        <w:t xml:space="preserve">A cross-sectional study where the various predictive factors for medication errors were assessed using data collected and analyzed by a research pharmacist </w:t>
      </w:r>
      <w:r w:rsidR="00E0257E">
        <w:rPr>
          <w:rFonts w:cs="Times New Roman"/>
          <w:bCs/>
          <w:color w:val="000000" w:themeColor="text1"/>
          <w:szCs w:val="24"/>
        </w:rPr>
        <w:t>with</w:t>
      </w:r>
      <w:r w:rsidR="008B64F4">
        <w:rPr>
          <w:rFonts w:cs="Times New Roman"/>
          <w:bCs/>
          <w:color w:val="000000" w:themeColor="text1"/>
          <w:szCs w:val="24"/>
        </w:rPr>
        <w:t xml:space="preserve"> the quantitative approach</w:t>
      </w:r>
    </w:p>
    <w:p w:rsidR="006005B6" w:rsidRDefault="006005B6" w:rsidP="00B22946">
      <w:pPr>
        <w:spacing w:line="480" w:lineRule="auto"/>
        <w:rPr>
          <w:rFonts w:cs="Times New Roman"/>
          <w:bCs/>
          <w:color w:val="000000" w:themeColor="text1"/>
          <w:szCs w:val="24"/>
        </w:rPr>
      </w:pPr>
      <w:r w:rsidRPr="0034564C">
        <w:rPr>
          <w:rFonts w:cs="Times New Roman"/>
          <w:b/>
          <w:bCs/>
          <w:color w:val="000000" w:themeColor="text1"/>
          <w:szCs w:val="24"/>
        </w:rPr>
        <w:t>Setting:</w:t>
      </w:r>
      <w:r w:rsidR="0034564C">
        <w:rPr>
          <w:rFonts w:cs="Times New Roman"/>
          <w:bCs/>
          <w:color w:val="000000" w:themeColor="text1"/>
          <w:szCs w:val="24"/>
        </w:rPr>
        <w:t xml:space="preserve"> Surgical Unit of Hamad General Hospital</w:t>
      </w:r>
    </w:p>
    <w:p w:rsidR="006005B6" w:rsidRDefault="006005B6" w:rsidP="00B22946">
      <w:pPr>
        <w:spacing w:line="480" w:lineRule="auto"/>
        <w:rPr>
          <w:rFonts w:cs="Times New Roman"/>
          <w:bCs/>
          <w:color w:val="000000" w:themeColor="text1"/>
          <w:szCs w:val="24"/>
        </w:rPr>
      </w:pPr>
      <w:r w:rsidRPr="0034564C">
        <w:rPr>
          <w:rFonts w:cs="Times New Roman"/>
          <w:b/>
          <w:bCs/>
          <w:color w:val="000000" w:themeColor="text1"/>
          <w:szCs w:val="24"/>
        </w:rPr>
        <w:t>Subjects</w:t>
      </w:r>
      <w:r w:rsidR="0034564C" w:rsidRPr="0034564C">
        <w:rPr>
          <w:rFonts w:cs="Times New Roman"/>
          <w:b/>
          <w:bCs/>
          <w:color w:val="000000" w:themeColor="text1"/>
          <w:szCs w:val="24"/>
        </w:rPr>
        <w:t>:</w:t>
      </w:r>
      <w:r w:rsidR="0034564C">
        <w:rPr>
          <w:rFonts w:cs="Times New Roman"/>
          <w:bCs/>
          <w:color w:val="000000" w:themeColor="text1"/>
          <w:szCs w:val="24"/>
        </w:rPr>
        <w:t xml:space="preserve"> 107 patients admitted in the unit in not less than 24 hours</w:t>
      </w:r>
    </w:p>
    <w:p w:rsidR="006005B6" w:rsidRDefault="006005B6" w:rsidP="00B22946">
      <w:pPr>
        <w:spacing w:line="480" w:lineRule="auto"/>
        <w:rPr>
          <w:rFonts w:cs="Times New Roman"/>
          <w:bCs/>
          <w:color w:val="000000" w:themeColor="text1"/>
          <w:szCs w:val="24"/>
        </w:rPr>
      </w:pPr>
      <w:r w:rsidRPr="00D2447B">
        <w:rPr>
          <w:rFonts w:cs="Times New Roman"/>
          <w:b/>
          <w:bCs/>
          <w:color w:val="000000" w:themeColor="text1"/>
          <w:szCs w:val="24"/>
        </w:rPr>
        <w:t>Main outcomes measures</w:t>
      </w:r>
      <w:r w:rsidR="00D2447B" w:rsidRPr="00D2447B">
        <w:rPr>
          <w:rFonts w:cs="Times New Roman"/>
          <w:b/>
          <w:bCs/>
          <w:color w:val="000000" w:themeColor="text1"/>
          <w:szCs w:val="24"/>
        </w:rPr>
        <w:t>:</w:t>
      </w:r>
      <w:r w:rsidR="00D2447B">
        <w:rPr>
          <w:rFonts w:cs="Times New Roman"/>
          <w:bCs/>
          <w:color w:val="000000" w:themeColor="text1"/>
          <w:szCs w:val="24"/>
        </w:rPr>
        <w:t xml:space="preserve"> clinical pharmacist filled medication interview forms as informed by the patients; EHR systems were also to track medication histories; other sources such as the </w:t>
      </w:r>
      <w:r w:rsidR="00D2447B" w:rsidRPr="00D2447B">
        <w:rPr>
          <w:rFonts w:cs="Times New Roman"/>
          <w:bCs/>
          <w:color w:val="000000" w:themeColor="text1"/>
          <w:szCs w:val="24"/>
        </w:rPr>
        <w:t>National Pharmacy Register, the medication dispensing system, as well as preadmission records from primary and community care.</w:t>
      </w:r>
      <w:r w:rsidR="00D2447B">
        <w:rPr>
          <w:rFonts w:cs="Times New Roman"/>
          <w:bCs/>
          <w:color w:val="000000" w:themeColor="text1"/>
          <w:szCs w:val="24"/>
        </w:rPr>
        <w:t xml:space="preserve"> Data was analyzed using descriptive and inferential </w:t>
      </w:r>
      <w:r w:rsidR="00521A10">
        <w:rPr>
          <w:rFonts w:cs="Times New Roman"/>
          <w:bCs/>
          <w:color w:val="000000" w:themeColor="text1"/>
          <w:szCs w:val="24"/>
        </w:rPr>
        <w:t>statistics</w:t>
      </w:r>
      <w:r w:rsidR="00D2447B">
        <w:rPr>
          <w:rFonts w:cs="Times New Roman"/>
          <w:bCs/>
          <w:color w:val="000000" w:themeColor="text1"/>
          <w:szCs w:val="24"/>
        </w:rPr>
        <w:t>.</w:t>
      </w:r>
    </w:p>
    <w:p w:rsidR="006005B6" w:rsidRDefault="006005B6" w:rsidP="00B22946">
      <w:pPr>
        <w:spacing w:line="480" w:lineRule="auto"/>
        <w:rPr>
          <w:rFonts w:cs="Times New Roman"/>
          <w:bCs/>
          <w:color w:val="000000" w:themeColor="text1"/>
          <w:szCs w:val="24"/>
        </w:rPr>
      </w:pPr>
      <w:r w:rsidRPr="001E17C1">
        <w:rPr>
          <w:rFonts w:cs="Times New Roman"/>
          <w:b/>
          <w:bCs/>
          <w:color w:val="000000" w:themeColor="text1"/>
          <w:szCs w:val="24"/>
        </w:rPr>
        <w:t>Results</w:t>
      </w:r>
      <w:r w:rsidR="00521A10" w:rsidRPr="001E17C1">
        <w:rPr>
          <w:rFonts w:cs="Times New Roman"/>
          <w:b/>
          <w:bCs/>
          <w:color w:val="000000" w:themeColor="text1"/>
          <w:szCs w:val="24"/>
        </w:rPr>
        <w:t>:</w:t>
      </w:r>
      <w:r w:rsidR="00C6537C">
        <w:rPr>
          <w:rFonts w:cs="Times New Roman"/>
          <w:bCs/>
          <w:color w:val="000000" w:themeColor="text1"/>
          <w:szCs w:val="24"/>
        </w:rPr>
        <w:t xml:space="preserve"> 35.8% of the discrepancies identified as medication errors with omission being the prevalent error (42%). 19.8% of the medication errors were expected to cause harm in the patients. polypharmacy, comorbidities, and age were the predictive factors that had statistically significant values.</w:t>
      </w:r>
    </w:p>
    <w:p w:rsidR="006005B6" w:rsidRDefault="006005B6" w:rsidP="00B22946">
      <w:pPr>
        <w:spacing w:line="480" w:lineRule="auto"/>
        <w:rPr>
          <w:rFonts w:cs="Times New Roman"/>
          <w:bCs/>
          <w:szCs w:val="24"/>
        </w:rPr>
      </w:pPr>
      <w:r w:rsidRPr="00CB24C7">
        <w:rPr>
          <w:rFonts w:cs="Times New Roman"/>
          <w:b/>
          <w:bCs/>
          <w:color w:val="000000" w:themeColor="text1"/>
          <w:szCs w:val="24"/>
        </w:rPr>
        <w:t>Conclusion</w:t>
      </w:r>
      <w:r w:rsidR="00521A10" w:rsidRPr="00CB24C7">
        <w:rPr>
          <w:rFonts w:cs="Times New Roman"/>
          <w:b/>
          <w:bCs/>
          <w:color w:val="000000" w:themeColor="text1"/>
          <w:szCs w:val="24"/>
        </w:rPr>
        <w:t>:</w:t>
      </w:r>
      <w:r w:rsidR="00CB24C7">
        <w:rPr>
          <w:rFonts w:cs="Times New Roman"/>
          <w:bCs/>
          <w:color w:val="000000" w:themeColor="text1"/>
          <w:szCs w:val="24"/>
        </w:rPr>
        <w:t xml:space="preserve"> </w:t>
      </w:r>
      <w:r w:rsidR="00CB24C7">
        <w:rPr>
          <w:rFonts w:cs="Times New Roman"/>
          <w:szCs w:val="24"/>
        </w:rPr>
        <w:t>there is a high prevalence of medication errors in the surgical unit of Hamad General Hospital with the predictor factors being mainly old age, polypharmacy, and high-risk medications.</w:t>
      </w:r>
    </w:p>
    <w:p w:rsidR="002701D8" w:rsidRPr="00632C47" w:rsidRDefault="002701D8" w:rsidP="00632C47">
      <w:pPr>
        <w:pStyle w:val="Heading1"/>
        <w:spacing w:line="480" w:lineRule="auto"/>
        <w:rPr>
          <w:rFonts w:ascii="Times New Roman" w:hAnsi="Times New Roman" w:cs="Times New Roman"/>
          <w:color w:val="auto"/>
          <w:sz w:val="24"/>
          <w:szCs w:val="24"/>
        </w:rPr>
      </w:pPr>
      <w:r w:rsidRPr="00632C47">
        <w:rPr>
          <w:rFonts w:ascii="Times New Roman" w:hAnsi="Times New Roman" w:cs="Times New Roman"/>
          <w:color w:val="auto"/>
          <w:sz w:val="24"/>
          <w:szCs w:val="24"/>
        </w:rPr>
        <w:t>Abbreviations</w:t>
      </w:r>
    </w:p>
    <w:tbl>
      <w:tblPr>
        <w:tblStyle w:val="LightShading-Accent11"/>
        <w:tblW w:w="8460" w:type="dxa"/>
        <w:tblLook w:val="04A0"/>
      </w:tblPr>
      <w:tblGrid>
        <w:gridCol w:w="2240"/>
        <w:gridCol w:w="6220"/>
      </w:tblGrid>
      <w:tr w:rsidR="000825C0" w:rsidRPr="00B22946" w:rsidTr="002003EA">
        <w:trPr>
          <w:cnfStyle w:val="100000000000"/>
          <w:trHeight w:val="478"/>
        </w:trPr>
        <w:tc>
          <w:tcPr>
            <w:cnfStyle w:val="001000000000"/>
            <w:tcW w:w="2240" w:type="dxa"/>
          </w:tcPr>
          <w:p w:rsidR="000825C0" w:rsidRPr="00B22946" w:rsidRDefault="000825C0" w:rsidP="00B22946">
            <w:pPr>
              <w:spacing w:line="480" w:lineRule="auto"/>
              <w:jc w:val="center"/>
              <w:rPr>
                <w:rFonts w:cs="Times New Roman"/>
                <w:bCs w:val="0"/>
                <w:szCs w:val="24"/>
                <w:lang w:bidi="ar-EG"/>
              </w:rPr>
            </w:pPr>
            <w:r w:rsidRPr="00B22946">
              <w:rPr>
                <w:rFonts w:cs="Times New Roman"/>
                <w:bCs w:val="0"/>
                <w:szCs w:val="24"/>
                <w:lang w:bidi="ar-EG"/>
              </w:rPr>
              <w:t>Abbreviation</w:t>
            </w:r>
          </w:p>
        </w:tc>
        <w:tc>
          <w:tcPr>
            <w:tcW w:w="6220" w:type="dxa"/>
          </w:tcPr>
          <w:p w:rsidR="000825C0" w:rsidRPr="00B22946" w:rsidRDefault="002003EA" w:rsidP="002003EA">
            <w:pPr>
              <w:tabs>
                <w:tab w:val="left" w:pos="1776"/>
              </w:tabs>
              <w:spacing w:line="480" w:lineRule="auto"/>
              <w:cnfStyle w:val="100000000000"/>
              <w:rPr>
                <w:rFonts w:cs="Times New Roman"/>
                <w:bCs w:val="0"/>
                <w:szCs w:val="24"/>
                <w:lang w:bidi="ar-EG"/>
              </w:rPr>
            </w:pPr>
            <w:r>
              <w:rPr>
                <w:rFonts w:cs="Times New Roman"/>
                <w:bCs w:val="0"/>
                <w:szCs w:val="24"/>
                <w:lang w:bidi="ar-EG"/>
              </w:rPr>
              <w:t xml:space="preserve">                                        Meaning</w:t>
            </w:r>
          </w:p>
        </w:tc>
      </w:tr>
      <w:tr w:rsidR="000825C0" w:rsidRPr="00B22946" w:rsidTr="002003EA">
        <w:trPr>
          <w:cnfStyle w:val="000000100000"/>
          <w:trHeight w:val="277"/>
        </w:trPr>
        <w:tc>
          <w:tcPr>
            <w:cnfStyle w:val="001000000000"/>
            <w:tcW w:w="2240" w:type="dxa"/>
          </w:tcPr>
          <w:p w:rsidR="000825C0" w:rsidRPr="00B22946" w:rsidRDefault="000825C0" w:rsidP="00B22946">
            <w:pPr>
              <w:spacing w:line="480" w:lineRule="auto"/>
              <w:jc w:val="center"/>
              <w:rPr>
                <w:rFonts w:cs="Times New Roman"/>
                <w:b w:val="0"/>
                <w:bCs w:val="0"/>
                <w:szCs w:val="24"/>
                <w:lang w:bidi="ar-EG"/>
              </w:rPr>
            </w:pPr>
            <w:r w:rsidRPr="00B22946">
              <w:rPr>
                <w:rFonts w:cs="Times New Roman"/>
                <w:b w:val="0"/>
                <w:bCs w:val="0"/>
                <w:szCs w:val="24"/>
                <w:lang w:bidi="ar-EG"/>
              </w:rPr>
              <w:t>ADRs</w:t>
            </w:r>
          </w:p>
        </w:tc>
        <w:tc>
          <w:tcPr>
            <w:tcW w:w="6220" w:type="dxa"/>
          </w:tcPr>
          <w:p w:rsidR="000825C0" w:rsidRPr="00B22946" w:rsidRDefault="000825C0" w:rsidP="00B22946">
            <w:pPr>
              <w:spacing w:line="480" w:lineRule="auto"/>
              <w:jc w:val="center"/>
              <w:cnfStyle w:val="000000100000"/>
              <w:rPr>
                <w:rFonts w:cs="Times New Roman"/>
                <w:bCs/>
                <w:szCs w:val="24"/>
                <w:lang w:bidi="ar-EG"/>
              </w:rPr>
            </w:pPr>
            <w:r w:rsidRPr="00B22946">
              <w:rPr>
                <w:rFonts w:cs="Times New Roman"/>
                <w:bCs/>
                <w:szCs w:val="24"/>
                <w:lang w:bidi="ar-EG"/>
              </w:rPr>
              <w:t>Adverse drug reactions</w:t>
            </w:r>
          </w:p>
        </w:tc>
      </w:tr>
      <w:tr w:rsidR="000B42F2" w:rsidRPr="00B22946" w:rsidTr="002003EA">
        <w:trPr>
          <w:trHeight w:val="277"/>
        </w:trPr>
        <w:tc>
          <w:tcPr>
            <w:cnfStyle w:val="001000000000"/>
            <w:tcW w:w="2240" w:type="dxa"/>
          </w:tcPr>
          <w:p w:rsidR="000B42F2" w:rsidRPr="00B22946" w:rsidRDefault="000B42F2" w:rsidP="00B22946">
            <w:pPr>
              <w:spacing w:line="480" w:lineRule="auto"/>
              <w:jc w:val="center"/>
              <w:rPr>
                <w:rFonts w:cs="Times New Roman"/>
                <w:b w:val="0"/>
                <w:bCs w:val="0"/>
                <w:szCs w:val="24"/>
                <w:lang w:bidi="ar-EG"/>
              </w:rPr>
            </w:pPr>
            <w:r w:rsidRPr="00B22946">
              <w:rPr>
                <w:rFonts w:cs="Times New Roman"/>
                <w:b w:val="0"/>
                <w:bCs w:val="0"/>
                <w:szCs w:val="24"/>
                <w:lang w:bidi="ar-EG"/>
              </w:rPr>
              <w:t>ADEs</w:t>
            </w:r>
          </w:p>
        </w:tc>
        <w:tc>
          <w:tcPr>
            <w:tcW w:w="6220" w:type="dxa"/>
          </w:tcPr>
          <w:p w:rsidR="000B42F2" w:rsidRPr="00B22946" w:rsidRDefault="000B42F2" w:rsidP="00B22946">
            <w:pPr>
              <w:spacing w:line="480" w:lineRule="auto"/>
              <w:jc w:val="center"/>
              <w:cnfStyle w:val="000000000000"/>
              <w:rPr>
                <w:rFonts w:cs="Times New Roman"/>
                <w:bCs/>
                <w:szCs w:val="24"/>
                <w:lang w:bidi="ar-EG"/>
              </w:rPr>
            </w:pPr>
            <w:r w:rsidRPr="00B22946">
              <w:rPr>
                <w:rFonts w:cs="Times New Roman"/>
                <w:bCs/>
                <w:szCs w:val="24"/>
                <w:lang w:bidi="ar-EG"/>
              </w:rPr>
              <w:t>Adverse drug events</w:t>
            </w:r>
          </w:p>
        </w:tc>
      </w:tr>
      <w:tr w:rsidR="000825C0" w:rsidRPr="00B22946" w:rsidTr="002003EA">
        <w:trPr>
          <w:cnfStyle w:val="000000100000"/>
          <w:trHeight w:val="291"/>
        </w:trPr>
        <w:tc>
          <w:tcPr>
            <w:cnfStyle w:val="001000000000"/>
            <w:tcW w:w="2240" w:type="dxa"/>
          </w:tcPr>
          <w:p w:rsidR="000825C0" w:rsidRPr="00B22946" w:rsidRDefault="000825C0" w:rsidP="00B22946">
            <w:pPr>
              <w:spacing w:line="480" w:lineRule="auto"/>
              <w:jc w:val="center"/>
              <w:rPr>
                <w:rFonts w:cs="Times New Roman"/>
                <w:b w:val="0"/>
                <w:bCs w:val="0"/>
                <w:szCs w:val="24"/>
                <w:lang w:bidi="ar-EG"/>
              </w:rPr>
            </w:pPr>
            <w:r w:rsidRPr="00B22946">
              <w:rPr>
                <w:rFonts w:cs="Times New Roman"/>
                <w:b w:val="0"/>
                <w:bCs w:val="0"/>
                <w:szCs w:val="24"/>
                <w:lang w:bidi="ar-EG"/>
              </w:rPr>
              <w:t>BPMH</w:t>
            </w:r>
          </w:p>
        </w:tc>
        <w:tc>
          <w:tcPr>
            <w:tcW w:w="6220" w:type="dxa"/>
          </w:tcPr>
          <w:p w:rsidR="000825C0" w:rsidRPr="00B22946" w:rsidRDefault="000825C0" w:rsidP="00B22946">
            <w:pPr>
              <w:spacing w:line="480" w:lineRule="auto"/>
              <w:jc w:val="center"/>
              <w:cnfStyle w:val="000000100000"/>
              <w:rPr>
                <w:rFonts w:cs="Times New Roman"/>
                <w:bCs/>
                <w:szCs w:val="24"/>
                <w:lang w:bidi="ar-EG"/>
              </w:rPr>
            </w:pPr>
            <w:r w:rsidRPr="00B22946">
              <w:rPr>
                <w:rFonts w:cs="Times New Roman"/>
                <w:bCs/>
                <w:szCs w:val="24"/>
                <w:lang w:bidi="ar-EG"/>
              </w:rPr>
              <w:t>Best patient medication history</w:t>
            </w:r>
          </w:p>
        </w:tc>
      </w:tr>
      <w:tr w:rsidR="000825C0" w:rsidRPr="00B22946" w:rsidTr="002003EA">
        <w:trPr>
          <w:trHeight w:val="291"/>
        </w:trPr>
        <w:tc>
          <w:tcPr>
            <w:cnfStyle w:val="001000000000"/>
            <w:tcW w:w="2240" w:type="dxa"/>
          </w:tcPr>
          <w:p w:rsidR="000825C0" w:rsidRPr="00B22946" w:rsidRDefault="000825C0" w:rsidP="00B22946">
            <w:pPr>
              <w:spacing w:line="480" w:lineRule="auto"/>
              <w:jc w:val="center"/>
              <w:rPr>
                <w:rFonts w:cs="Times New Roman"/>
                <w:b w:val="0"/>
                <w:bCs w:val="0"/>
                <w:szCs w:val="24"/>
                <w:lang w:bidi="ar-EG"/>
              </w:rPr>
            </w:pPr>
            <w:r w:rsidRPr="00B22946">
              <w:rPr>
                <w:rFonts w:cs="Times New Roman"/>
                <w:b w:val="0"/>
                <w:bCs w:val="0"/>
                <w:szCs w:val="24"/>
                <w:lang w:bidi="ar-EG"/>
              </w:rPr>
              <w:t>CAM</w:t>
            </w:r>
          </w:p>
        </w:tc>
        <w:tc>
          <w:tcPr>
            <w:tcW w:w="6220" w:type="dxa"/>
          </w:tcPr>
          <w:p w:rsidR="000825C0" w:rsidRPr="00B22946" w:rsidRDefault="000825C0" w:rsidP="00B22946">
            <w:pPr>
              <w:spacing w:line="480" w:lineRule="auto"/>
              <w:jc w:val="center"/>
              <w:cnfStyle w:val="000000000000"/>
              <w:rPr>
                <w:rFonts w:cs="Times New Roman"/>
                <w:bCs/>
                <w:szCs w:val="24"/>
                <w:lang w:bidi="ar-EG"/>
              </w:rPr>
            </w:pPr>
            <w:r w:rsidRPr="00B22946">
              <w:rPr>
                <w:rFonts w:cs="Times New Roman"/>
                <w:bCs/>
                <w:szCs w:val="24"/>
                <w:lang w:bidi="ar-EG"/>
              </w:rPr>
              <w:t>Complementary and alternative medication</w:t>
            </w:r>
          </w:p>
        </w:tc>
      </w:tr>
      <w:tr w:rsidR="000825C0" w:rsidRPr="00B22946" w:rsidTr="002003EA">
        <w:trPr>
          <w:cnfStyle w:val="000000100000"/>
          <w:trHeight w:val="291"/>
        </w:trPr>
        <w:tc>
          <w:tcPr>
            <w:cnfStyle w:val="001000000000"/>
            <w:tcW w:w="2240" w:type="dxa"/>
          </w:tcPr>
          <w:p w:rsidR="000825C0" w:rsidRPr="00B22946" w:rsidRDefault="000825C0" w:rsidP="00B22946">
            <w:pPr>
              <w:spacing w:line="480" w:lineRule="auto"/>
              <w:jc w:val="center"/>
              <w:rPr>
                <w:rFonts w:cs="Times New Roman"/>
                <w:b w:val="0"/>
                <w:bCs w:val="0"/>
                <w:szCs w:val="24"/>
                <w:lang w:bidi="ar-EG"/>
              </w:rPr>
            </w:pPr>
            <w:r w:rsidRPr="00B22946">
              <w:rPr>
                <w:rFonts w:cs="Times New Roman"/>
                <w:b w:val="0"/>
                <w:bCs w:val="0"/>
                <w:szCs w:val="24"/>
                <w:lang w:bidi="ar-EG"/>
              </w:rPr>
              <w:t>CD</w:t>
            </w:r>
          </w:p>
        </w:tc>
        <w:tc>
          <w:tcPr>
            <w:tcW w:w="6220" w:type="dxa"/>
          </w:tcPr>
          <w:p w:rsidR="000825C0" w:rsidRPr="00B22946" w:rsidRDefault="000825C0" w:rsidP="00B22946">
            <w:pPr>
              <w:spacing w:line="480" w:lineRule="auto"/>
              <w:jc w:val="center"/>
              <w:cnfStyle w:val="000000100000"/>
              <w:rPr>
                <w:rFonts w:cs="Times New Roman"/>
                <w:bCs/>
                <w:szCs w:val="24"/>
                <w:lang w:bidi="ar-EG"/>
              </w:rPr>
            </w:pPr>
            <w:r w:rsidRPr="00B22946">
              <w:rPr>
                <w:rFonts w:cs="Times New Roman"/>
                <w:bCs/>
                <w:szCs w:val="24"/>
                <w:lang w:bidi="ar-EG"/>
              </w:rPr>
              <w:t>Controlled delivery</w:t>
            </w:r>
          </w:p>
        </w:tc>
      </w:tr>
      <w:tr w:rsidR="000825C0" w:rsidRPr="00B22946" w:rsidTr="002003EA">
        <w:trPr>
          <w:trHeight w:val="291"/>
        </w:trPr>
        <w:tc>
          <w:tcPr>
            <w:cnfStyle w:val="001000000000"/>
            <w:tcW w:w="2240" w:type="dxa"/>
          </w:tcPr>
          <w:p w:rsidR="000825C0" w:rsidRPr="00B22946" w:rsidRDefault="000825C0" w:rsidP="00B22946">
            <w:pPr>
              <w:spacing w:line="480" w:lineRule="auto"/>
              <w:jc w:val="center"/>
              <w:rPr>
                <w:rFonts w:cs="Times New Roman"/>
                <w:b w:val="0"/>
                <w:bCs w:val="0"/>
                <w:szCs w:val="24"/>
                <w:lang w:bidi="ar-EG"/>
              </w:rPr>
            </w:pPr>
            <w:r w:rsidRPr="00B22946">
              <w:rPr>
                <w:rFonts w:cs="Times New Roman"/>
                <w:b w:val="0"/>
                <w:bCs w:val="0"/>
                <w:szCs w:val="24"/>
                <w:lang w:bidi="ar-EG"/>
              </w:rPr>
              <w:t>CR</w:t>
            </w:r>
          </w:p>
        </w:tc>
        <w:tc>
          <w:tcPr>
            <w:tcW w:w="6220" w:type="dxa"/>
          </w:tcPr>
          <w:p w:rsidR="000825C0" w:rsidRPr="00B22946" w:rsidRDefault="000825C0" w:rsidP="00B22946">
            <w:pPr>
              <w:spacing w:line="480" w:lineRule="auto"/>
              <w:jc w:val="center"/>
              <w:cnfStyle w:val="000000000000"/>
              <w:rPr>
                <w:rFonts w:cs="Times New Roman"/>
                <w:bCs/>
                <w:szCs w:val="24"/>
                <w:lang w:bidi="ar-EG"/>
              </w:rPr>
            </w:pPr>
            <w:r w:rsidRPr="00B22946">
              <w:rPr>
                <w:rFonts w:cs="Times New Roman"/>
                <w:bCs/>
                <w:szCs w:val="24"/>
                <w:lang w:bidi="ar-EG"/>
              </w:rPr>
              <w:t>Controlled release</w:t>
            </w:r>
          </w:p>
        </w:tc>
      </w:tr>
      <w:tr w:rsidR="000825C0" w:rsidRPr="00B22946" w:rsidTr="002003EA">
        <w:trPr>
          <w:cnfStyle w:val="000000100000"/>
          <w:trHeight w:val="291"/>
        </w:trPr>
        <w:tc>
          <w:tcPr>
            <w:cnfStyle w:val="001000000000"/>
            <w:tcW w:w="2240" w:type="dxa"/>
          </w:tcPr>
          <w:p w:rsidR="000825C0" w:rsidRPr="00B22946" w:rsidRDefault="000825C0" w:rsidP="00B22946">
            <w:pPr>
              <w:spacing w:line="480" w:lineRule="auto"/>
              <w:jc w:val="center"/>
              <w:rPr>
                <w:rFonts w:cs="Times New Roman"/>
                <w:b w:val="0"/>
                <w:bCs w:val="0"/>
                <w:szCs w:val="24"/>
                <w:lang w:bidi="ar-EG"/>
              </w:rPr>
            </w:pPr>
            <w:r w:rsidRPr="00B22946">
              <w:rPr>
                <w:rFonts w:cs="Times New Roman"/>
                <w:b w:val="0"/>
                <w:bCs w:val="0"/>
                <w:szCs w:val="24"/>
                <w:lang w:bidi="ar-EG"/>
              </w:rPr>
              <w:t>EMR</w:t>
            </w:r>
          </w:p>
        </w:tc>
        <w:tc>
          <w:tcPr>
            <w:tcW w:w="6220" w:type="dxa"/>
          </w:tcPr>
          <w:p w:rsidR="000825C0" w:rsidRPr="00B22946" w:rsidRDefault="000825C0" w:rsidP="00B22946">
            <w:pPr>
              <w:spacing w:line="480" w:lineRule="auto"/>
              <w:jc w:val="center"/>
              <w:cnfStyle w:val="000000100000"/>
              <w:rPr>
                <w:rFonts w:cs="Times New Roman"/>
                <w:bCs/>
                <w:szCs w:val="24"/>
                <w:lang w:bidi="ar-EG"/>
              </w:rPr>
            </w:pPr>
            <w:r w:rsidRPr="00B22946">
              <w:rPr>
                <w:rFonts w:cs="Times New Roman"/>
                <w:bCs/>
                <w:szCs w:val="24"/>
                <w:lang w:bidi="ar-EG"/>
              </w:rPr>
              <w:t>Electronic medication record</w:t>
            </w:r>
          </w:p>
        </w:tc>
      </w:tr>
      <w:tr w:rsidR="000825C0" w:rsidRPr="00B22946" w:rsidTr="002003EA">
        <w:trPr>
          <w:trHeight w:val="291"/>
        </w:trPr>
        <w:tc>
          <w:tcPr>
            <w:cnfStyle w:val="001000000000"/>
            <w:tcW w:w="2240" w:type="dxa"/>
          </w:tcPr>
          <w:p w:rsidR="000825C0" w:rsidRPr="00B22946" w:rsidRDefault="000825C0" w:rsidP="00B22946">
            <w:pPr>
              <w:spacing w:line="480" w:lineRule="auto"/>
              <w:jc w:val="center"/>
              <w:rPr>
                <w:rFonts w:cs="Times New Roman"/>
                <w:b w:val="0"/>
                <w:bCs w:val="0"/>
                <w:szCs w:val="24"/>
                <w:lang w:bidi="ar-EG"/>
              </w:rPr>
            </w:pPr>
            <w:r w:rsidRPr="00B22946">
              <w:rPr>
                <w:rFonts w:cs="Times New Roman"/>
                <w:b w:val="0"/>
                <w:bCs w:val="0"/>
                <w:szCs w:val="24"/>
                <w:lang w:bidi="ar-EG"/>
              </w:rPr>
              <w:t>EMS</w:t>
            </w:r>
          </w:p>
        </w:tc>
        <w:tc>
          <w:tcPr>
            <w:tcW w:w="6220" w:type="dxa"/>
          </w:tcPr>
          <w:p w:rsidR="000825C0" w:rsidRPr="00B22946" w:rsidRDefault="000825C0" w:rsidP="00B22946">
            <w:pPr>
              <w:spacing w:line="480" w:lineRule="auto"/>
              <w:jc w:val="center"/>
              <w:cnfStyle w:val="000000000000"/>
              <w:rPr>
                <w:rFonts w:cs="Times New Roman"/>
                <w:bCs/>
                <w:szCs w:val="24"/>
                <w:lang w:bidi="ar-EG"/>
              </w:rPr>
            </w:pPr>
            <w:r w:rsidRPr="00B22946">
              <w:rPr>
                <w:rFonts w:cs="Times New Roman"/>
                <w:bCs/>
                <w:szCs w:val="24"/>
                <w:lang w:bidi="ar-EG"/>
              </w:rPr>
              <w:t>Electronic medication system</w:t>
            </w:r>
          </w:p>
        </w:tc>
      </w:tr>
      <w:tr w:rsidR="000825C0" w:rsidRPr="00B22946" w:rsidTr="002003EA">
        <w:trPr>
          <w:cnfStyle w:val="000000100000"/>
          <w:trHeight w:val="291"/>
        </w:trPr>
        <w:tc>
          <w:tcPr>
            <w:cnfStyle w:val="001000000000"/>
            <w:tcW w:w="2240" w:type="dxa"/>
          </w:tcPr>
          <w:p w:rsidR="000825C0" w:rsidRPr="00B22946" w:rsidRDefault="000825C0" w:rsidP="00B22946">
            <w:pPr>
              <w:spacing w:line="480" w:lineRule="auto"/>
              <w:jc w:val="center"/>
              <w:rPr>
                <w:rFonts w:cs="Times New Roman"/>
                <w:b w:val="0"/>
                <w:bCs w:val="0"/>
                <w:szCs w:val="24"/>
                <w:lang w:bidi="ar-EG"/>
              </w:rPr>
            </w:pPr>
            <w:r w:rsidRPr="00B22946">
              <w:rPr>
                <w:rFonts w:cs="Times New Roman"/>
                <w:b w:val="0"/>
                <w:bCs w:val="0"/>
                <w:szCs w:val="24"/>
                <w:lang w:bidi="ar-EG"/>
              </w:rPr>
              <w:t>GP</w:t>
            </w:r>
          </w:p>
        </w:tc>
        <w:tc>
          <w:tcPr>
            <w:tcW w:w="6220" w:type="dxa"/>
          </w:tcPr>
          <w:p w:rsidR="000825C0" w:rsidRPr="00B22946" w:rsidRDefault="000825C0" w:rsidP="00B22946">
            <w:pPr>
              <w:spacing w:line="480" w:lineRule="auto"/>
              <w:jc w:val="center"/>
              <w:cnfStyle w:val="000000100000"/>
              <w:rPr>
                <w:rFonts w:cs="Times New Roman"/>
                <w:bCs/>
                <w:szCs w:val="24"/>
                <w:lang w:bidi="ar-EG"/>
              </w:rPr>
            </w:pPr>
            <w:r w:rsidRPr="00B22946">
              <w:rPr>
                <w:rFonts w:cs="Times New Roman"/>
                <w:bCs/>
                <w:szCs w:val="24"/>
                <w:lang w:bidi="ar-EG"/>
              </w:rPr>
              <w:t>General practitioner</w:t>
            </w:r>
          </w:p>
        </w:tc>
      </w:tr>
      <w:tr w:rsidR="00D31320" w:rsidRPr="00B22946" w:rsidTr="002003EA">
        <w:trPr>
          <w:trHeight w:val="291"/>
        </w:trPr>
        <w:tc>
          <w:tcPr>
            <w:cnfStyle w:val="001000000000"/>
            <w:tcW w:w="2240" w:type="dxa"/>
          </w:tcPr>
          <w:p w:rsidR="00D31320" w:rsidRPr="00B22946" w:rsidRDefault="00D31320" w:rsidP="00B22946">
            <w:pPr>
              <w:spacing w:line="480" w:lineRule="auto"/>
              <w:jc w:val="center"/>
              <w:rPr>
                <w:rFonts w:cs="Times New Roman"/>
                <w:b w:val="0"/>
                <w:bCs w:val="0"/>
                <w:szCs w:val="24"/>
                <w:lang w:bidi="ar-EG"/>
              </w:rPr>
            </w:pPr>
            <w:r w:rsidRPr="00B22946">
              <w:rPr>
                <w:rFonts w:cs="Times New Roman"/>
                <w:b w:val="0"/>
                <w:bCs w:val="0"/>
                <w:szCs w:val="24"/>
                <w:lang w:bidi="ar-EG"/>
              </w:rPr>
              <w:t>PML</w:t>
            </w:r>
          </w:p>
        </w:tc>
        <w:tc>
          <w:tcPr>
            <w:tcW w:w="6220" w:type="dxa"/>
          </w:tcPr>
          <w:p w:rsidR="00D31320" w:rsidRPr="00B22946" w:rsidRDefault="00D31320" w:rsidP="00B22946">
            <w:pPr>
              <w:spacing w:line="480" w:lineRule="auto"/>
              <w:jc w:val="center"/>
              <w:cnfStyle w:val="000000000000"/>
              <w:rPr>
                <w:rFonts w:cs="Times New Roman"/>
                <w:bCs/>
                <w:szCs w:val="24"/>
                <w:lang w:bidi="ar-EG"/>
              </w:rPr>
            </w:pPr>
            <w:r w:rsidRPr="00B22946">
              <w:rPr>
                <w:rFonts w:cs="Times New Roman"/>
                <w:szCs w:val="24"/>
              </w:rPr>
              <w:t>Patient Medication List</w:t>
            </w:r>
          </w:p>
        </w:tc>
      </w:tr>
      <w:tr w:rsidR="000825C0" w:rsidRPr="00B22946" w:rsidTr="002003EA">
        <w:trPr>
          <w:cnfStyle w:val="000000100000"/>
          <w:trHeight w:val="291"/>
        </w:trPr>
        <w:tc>
          <w:tcPr>
            <w:cnfStyle w:val="001000000000"/>
            <w:tcW w:w="2240" w:type="dxa"/>
          </w:tcPr>
          <w:p w:rsidR="000825C0" w:rsidRPr="00B22946" w:rsidRDefault="000825C0" w:rsidP="00B22946">
            <w:pPr>
              <w:spacing w:line="480" w:lineRule="auto"/>
              <w:jc w:val="center"/>
              <w:rPr>
                <w:rFonts w:cs="Times New Roman"/>
                <w:b w:val="0"/>
                <w:bCs w:val="0"/>
                <w:szCs w:val="24"/>
                <w:lang w:bidi="ar-EG"/>
              </w:rPr>
            </w:pPr>
            <w:r w:rsidRPr="00B22946">
              <w:rPr>
                <w:rFonts w:cs="Times New Roman"/>
                <w:b w:val="0"/>
                <w:bCs w:val="0"/>
                <w:szCs w:val="24"/>
                <w:lang w:bidi="ar-EG"/>
              </w:rPr>
              <w:t>JCI</w:t>
            </w:r>
          </w:p>
        </w:tc>
        <w:tc>
          <w:tcPr>
            <w:tcW w:w="6220" w:type="dxa"/>
          </w:tcPr>
          <w:p w:rsidR="000825C0" w:rsidRPr="00B22946" w:rsidRDefault="000825C0" w:rsidP="00B22946">
            <w:pPr>
              <w:spacing w:line="480" w:lineRule="auto"/>
              <w:jc w:val="center"/>
              <w:cnfStyle w:val="000000100000"/>
              <w:rPr>
                <w:rFonts w:cs="Times New Roman"/>
                <w:bCs/>
                <w:szCs w:val="24"/>
                <w:lang w:bidi="ar-EG"/>
              </w:rPr>
            </w:pPr>
            <w:r w:rsidRPr="00B22946">
              <w:rPr>
                <w:rFonts w:cs="Times New Roman"/>
                <w:bCs/>
                <w:szCs w:val="24"/>
                <w:lang w:bidi="ar-EG"/>
              </w:rPr>
              <w:t>The joint commission international</w:t>
            </w:r>
          </w:p>
        </w:tc>
      </w:tr>
      <w:tr w:rsidR="005F51BD" w:rsidRPr="00B22946" w:rsidTr="002003EA">
        <w:trPr>
          <w:trHeight w:val="291"/>
        </w:trPr>
        <w:tc>
          <w:tcPr>
            <w:cnfStyle w:val="001000000000"/>
            <w:tcW w:w="2240" w:type="dxa"/>
          </w:tcPr>
          <w:p w:rsidR="005F51BD" w:rsidRPr="00B22946" w:rsidRDefault="005F51BD" w:rsidP="00B22946">
            <w:pPr>
              <w:spacing w:line="480" w:lineRule="auto"/>
              <w:jc w:val="center"/>
              <w:rPr>
                <w:rFonts w:cs="Times New Roman"/>
                <w:b w:val="0"/>
                <w:bCs w:val="0"/>
                <w:szCs w:val="24"/>
                <w:lang w:bidi="ar-EG"/>
              </w:rPr>
            </w:pPr>
            <w:r w:rsidRPr="00B22946">
              <w:rPr>
                <w:rFonts w:cs="Times New Roman"/>
                <w:b w:val="0"/>
                <w:bCs w:val="0"/>
                <w:szCs w:val="24"/>
                <w:lang w:bidi="ar-EG"/>
              </w:rPr>
              <w:t>IHI</w:t>
            </w:r>
          </w:p>
        </w:tc>
        <w:tc>
          <w:tcPr>
            <w:tcW w:w="6220" w:type="dxa"/>
          </w:tcPr>
          <w:p w:rsidR="005F51BD" w:rsidRPr="00B22946" w:rsidRDefault="005F51BD" w:rsidP="00B22946">
            <w:pPr>
              <w:spacing w:line="480" w:lineRule="auto"/>
              <w:jc w:val="center"/>
              <w:cnfStyle w:val="000000000000"/>
              <w:rPr>
                <w:rFonts w:cs="Times New Roman"/>
                <w:bCs/>
                <w:szCs w:val="24"/>
                <w:lang w:bidi="ar-EG"/>
              </w:rPr>
            </w:pPr>
            <w:r w:rsidRPr="00B22946">
              <w:rPr>
                <w:rFonts w:cs="Times New Roman"/>
                <w:szCs w:val="24"/>
              </w:rPr>
              <w:t>Institute for Health care Improvement</w:t>
            </w:r>
          </w:p>
        </w:tc>
      </w:tr>
      <w:tr w:rsidR="000825C0" w:rsidRPr="00B22946" w:rsidTr="002003EA">
        <w:trPr>
          <w:cnfStyle w:val="000000100000"/>
          <w:trHeight w:val="291"/>
        </w:trPr>
        <w:tc>
          <w:tcPr>
            <w:cnfStyle w:val="001000000000"/>
            <w:tcW w:w="2240" w:type="dxa"/>
          </w:tcPr>
          <w:p w:rsidR="000825C0" w:rsidRPr="00B22946" w:rsidRDefault="000825C0" w:rsidP="00B22946">
            <w:pPr>
              <w:spacing w:line="480" w:lineRule="auto"/>
              <w:jc w:val="center"/>
              <w:rPr>
                <w:rFonts w:cs="Times New Roman"/>
                <w:b w:val="0"/>
                <w:bCs w:val="0"/>
                <w:szCs w:val="24"/>
                <w:lang w:bidi="ar-EG"/>
              </w:rPr>
            </w:pPr>
            <w:r w:rsidRPr="00B22946">
              <w:rPr>
                <w:rFonts w:cs="Times New Roman"/>
                <w:b w:val="0"/>
                <w:bCs w:val="0"/>
                <w:szCs w:val="24"/>
                <w:lang w:bidi="ar-EG"/>
              </w:rPr>
              <w:t>LA</w:t>
            </w:r>
          </w:p>
        </w:tc>
        <w:tc>
          <w:tcPr>
            <w:tcW w:w="6220" w:type="dxa"/>
          </w:tcPr>
          <w:p w:rsidR="000825C0" w:rsidRPr="00B22946" w:rsidRDefault="000825C0" w:rsidP="00B22946">
            <w:pPr>
              <w:spacing w:line="480" w:lineRule="auto"/>
              <w:jc w:val="center"/>
              <w:cnfStyle w:val="000000100000"/>
              <w:rPr>
                <w:rFonts w:cs="Times New Roman"/>
                <w:bCs/>
                <w:szCs w:val="24"/>
                <w:lang w:bidi="ar-EG"/>
              </w:rPr>
            </w:pPr>
            <w:r w:rsidRPr="00B22946">
              <w:rPr>
                <w:rFonts w:cs="Times New Roman"/>
                <w:bCs/>
                <w:szCs w:val="24"/>
                <w:lang w:bidi="ar-EG"/>
              </w:rPr>
              <w:t>Long acting</w:t>
            </w:r>
          </w:p>
        </w:tc>
      </w:tr>
      <w:tr w:rsidR="000825C0" w:rsidRPr="00B22946" w:rsidTr="002003EA">
        <w:trPr>
          <w:trHeight w:val="277"/>
        </w:trPr>
        <w:tc>
          <w:tcPr>
            <w:cnfStyle w:val="001000000000"/>
            <w:tcW w:w="2240" w:type="dxa"/>
          </w:tcPr>
          <w:p w:rsidR="000825C0" w:rsidRPr="00B22946" w:rsidRDefault="000825C0" w:rsidP="00B22946">
            <w:pPr>
              <w:spacing w:line="480" w:lineRule="auto"/>
              <w:jc w:val="center"/>
              <w:rPr>
                <w:rFonts w:cs="Times New Roman"/>
                <w:b w:val="0"/>
                <w:bCs w:val="0"/>
                <w:szCs w:val="24"/>
                <w:lang w:bidi="ar-EG"/>
              </w:rPr>
            </w:pPr>
            <w:r w:rsidRPr="00B22946">
              <w:rPr>
                <w:rFonts w:cs="Times New Roman"/>
                <w:b w:val="0"/>
                <w:bCs w:val="0"/>
                <w:szCs w:val="24"/>
                <w:lang w:bidi="ar-EG"/>
              </w:rPr>
              <w:t>OTC</w:t>
            </w:r>
          </w:p>
        </w:tc>
        <w:tc>
          <w:tcPr>
            <w:tcW w:w="6220" w:type="dxa"/>
          </w:tcPr>
          <w:p w:rsidR="000825C0" w:rsidRPr="00B22946" w:rsidRDefault="000825C0" w:rsidP="00B22946">
            <w:pPr>
              <w:spacing w:line="480" w:lineRule="auto"/>
              <w:jc w:val="center"/>
              <w:cnfStyle w:val="000000000000"/>
              <w:rPr>
                <w:rFonts w:cs="Times New Roman"/>
                <w:bCs/>
                <w:szCs w:val="24"/>
                <w:lang w:bidi="ar-EG"/>
              </w:rPr>
            </w:pPr>
            <w:r w:rsidRPr="00B22946">
              <w:rPr>
                <w:rFonts w:cs="Times New Roman"/>
                <w:bCs/>
                <w:szCs w:val="24"/>
                <w:lang w:bidi="ar-EG"/>
              </w:rPr>
              <w:t>Over the counter</w:t>
            </w:r>
          </w:p>
        </w:tc>
      </w:tr>
      <w:tr w:rsidR="000825C0" w:rsidRPr="00B22946" w:rsidTr="002003EA">
        <w:trPr>
          <w:cnfStyle w:val="000000100000"/>
          <w:trHeight w:val="277"/>
        </w:trPr>
        <w:tc>
          <w:tcPr>
            <w:cnfStyle w:val="001000000000"/>
            <w:tcW w:w="2240" w:type="dxa"/>
          </w:tcPr>
          <w:p w:rsidR="000825C0" w:rsidRPr="00B22946" w:rsidRDefault="000825C0" w:rsidP="00B22946">
            <w:pPr>
              <w:spacing w:line="480" w:lineRule="auto"/>
              <w:jc w:val="center"/>
              <w:rPr>
                <w:rFonts w:cs="Times New Roman"/>
                <w:b w:val="0"/>
                <w:bCs w:val="0"/>
                <w:szCs w:val="24"/>
                <w:lang w:bidi="ar-EG"/>
              </w:rPr>
            </w:pPr>
            <w:r w:rsidRPr="00B22946">
              <w:rPr>
                <w:rFonts w:cs="Times New Roman"/>
                <w:b w:val="0"/>
                <w:bCs w:val="0"/>
                <w:szCs w:val="24"/>
                <w:lang w:bidi="ar-EG"/>
              </w:rPr>
              <w:t>POM</w:t>
            </w:r>
          </w:p>
        </w:tc>
        <w:tc>
          <w:tcPr>
            <w:tcW w:w="6220" w:type="dxa"/>
          </w:tcPr>
          <w:p w:rsidR="000825C0" w:rsidRPr="00B22946" w:rsidRDefault="000825C0" w:rsidP="00B22946">
            <w:pPr>
              <w:spacing w:line="480" w:lineRule="auto"/>
              <w:jc w:val="center"/>
              <w:cnfStyle w:val="000000100000"/>
              <w:rPr>
                <w:rFonts w:cs="Times New Roman"/>
                <w:bCs/>
                <w:szCs w:val="24"/>
                <w:lang w:bidi="ar-EG"/>
              </w:rPr>
            </w:pPr>
            <w:r w:rsidRPr="00B22946">
              <w:rPr>
                <w:rFonts w:cs="Times New Roman"/>
                <w:bCs/>
                <w:szCs w:val="24"/>
                <w:lang w:bidi="ar-EG"/>
              </w:rPr>
              <w:t>Patient own medication</w:t>
            </w:r>
          </w:p>
        </w:tc>
      </w:tr>
      <w:tr w:rsidR="000825C0" w:rsidRPr="00B22946" w:rsidTr="002003EA">
        <w:trPr>
          <w:trHeight w:val="277"/>
        </w:trPr>
        <w:tc>
          <w:tcPr>
            <w:cnfStyle w:val="001000000000"/>
            <w:tcW w:w="2240" w:type="dxa"/>
          </w:tcPr>
          <w:p w:rsidR="000825C0" w:rsidRPr="00B22946" w:rsidRDefault="000825C0" w:rsidP="00B22946">
            <w:pPr>
              <w:spacing w:line="480" w:lineRule="auto"/>
              <w:jc w:val="center"/>
              <w:rPr>
                <w:rFonts w:cs="Times New Roman"/>
                <w:b w:val="0"/>
                <w:bCs w:val="0"/>
                <w:szCs w:val="24"/>
                <w:lang w:bidi="ar-EG"/>
              </w:rPr>
            </w:pPr>
            <w:r w:rsidRPr="00B22946">
              <w:rPr>
                <w:rFonts w:cs="Times New Roman"/>
                <w:b w:val="0"/>
                <w:bCs w:val="0"/>
                <w:szCs w:val="24"/>
                <w:lang w:bidi="ar-EG"/>
              </w:rPr>
              <w:t>UK</w:t>
            </w:r>
          </w:p>
        </w:tc>
        <w:tc>
          <w:tcPr>
            <w:tcW w:w="6220" w:type="dxa"/>
          </w:tcPr>
          <w:p w:rsidR="000825C0" w:rsidRPr="00B22946" w:rsidRDefault="000825C0" w:rsidP="00B22946">
            <w:pPr>
              <w:spacing w:line="480" w:lineRule="auto"/>
              <w:jc w:val="center"/>
              <w:cnfStyle w:val="000000000000"/>
              <w:rPr>
                <w:rFonts w:cs="Times New Roman"/>
                <w:bCs/>
                <w:szCs w:val="24"/>
                <w:lang w:bidi="ar-EG"/>
              </w:rPr>
            </w:pPr>
            <w:r w:rsidRPr="00B22946">
              <w:rPr>
                <w:rFonts w:cs="Times New Roman"/>
                <w:bCs/>
                <w:szCs w:val="24"/>
                <w:lang w:bidi="ar-EG"/>
              </w:rPr>
              <w:t>United kingdom</w:t>
            </w:r>
          </w:p>
        </w:tc>
      </w:tr>
      <w:tr w:rsidR="000825C0" w:rsidRPr="00B22946" w:rsidTr="002003EA">
        <w:trPr>
          <w:cnfStyle w:val="000000100000"/>
          <w:trHeight w:val="277"/>
        </w:trPr>
        <w:tc>
          <w:tcPr>
            <w:cnfStyle w:val="001000000000"/>
            <w:tcW w:w="2240" w:type="dxa"/>
          </w:tcPr>
          <w:p w:rsidR="000825C0" w:rsidRPr="00B22946" w:rsidRDefault="000825C0" w:rsidP="00B22946">
            <w:pPr>
              <w:spacing w:line="480" w:lineRule="auto"/>
              <w:jc w:val="center"/>
              <w:rPr>
                <w:rFonts w:cs="Times New Roman"/>
                <w:b w:val="0"/>
                <w:bCs w:val="0"/>
                <w:szCs w:val="24"/>
                <w:lang w:bidi="ar-EG"/>
              </w:rPr>
            </w:pPr>
            <w:r w:rsidRPr="00B22946">
              <w:rPr>
                <w:rFonts w:cs="Times New Roman"/>
                <w:b w:val="0"/>
                <w:bCs w:val="0"/>
                <w:szCs w:val="24"/>
                <w:lang w:bidi="ar-EG"/>
              </w:rPr>
              <w:t>WHO</w:t>
            </w:r>
          </w:p>
        </w:tc>
        <w:tc>
          <w:tcPr>
            <w:tcW w:w="6220" w:type="dxa"/>
          </w:tcPr>
          <w:p w:rsidR="000825C0" w:rsidRPr="00B22946" w:rsidRDefault="000825C0" w:rsidP="00B22946">
            <w:pPr>
              <w:spacing w:line="480" w:lineRule="auto"/>
              <w:jc w:val="center"/>
              <w:cnfStyle w:val="000000100000"/>
              <w:rPr>
                <w:rFonts w:cs="Times New Roman"/>
                <w:bCs/>
                <w:szCs w:val="24"/>
                <w:lang w:bidi="ar-EG"/>
              </w:rPr>
            </w:pPr>
            <w:r w:rsidRPr="00B22946">
              <w:rPr>
                <w:rFonts w:cs="Times New Roman"/>
                <w:bCs/>
                <w:szCs w:val="24"/>
                <w:lang w:bidi="ar-EG"/>
              </w:rPr>
              <w:t>World health organization</w:t>
            </w:r>
          </w:p>
        </w:tc>
      </w:tr>
      <w:tr w:rsidR="000825C0" w:rsidRPr="00B22946" w:rsidTr="002003EA">
        <w:trPr>
          <w:trHeight w:val="70"/>
        </w:trPr>
        <w:tc>
          <w:tcPr>
            <w:cnfStyle w:val="001000000000"/>
            <w:tcW w:w="2240" w:type="dxa"/>
          </w:tcPr>
          <w:p w:rsidR="000825C0" w:rsidRPr="00B22946" w:rsidRDefault="000825C0" w:rsidP="00B22946">
            <w:pPr>
              <w:spacing w:line="480" w:lineRule="auto"/>
              <w:jc w:val="center"/>
              <w:rPr>
                <w:rFonts w:cs="Times New Roman"/>
                <w:b w:val="0"/>
                <w:bCs w:val="0"/>
                <w:szCs w:val="24"/>
                <w:lang w:bidi="ar-EG"/>
              </w:rPr>
            </w:pPr>
            <w:r w:rsidRPr="00B22946">
              <w:rPr>
                <w:rFonts w:cs="Times New Roman"/>
                <w:b w:val="0"/>
                <w:bCs w:val="0"/>
                <w:szCs w:val="24"/>
                <w:lang w:bidi="ar-EG"/>
              </w:rPr>
              <w:t>XL</w:t>
            </w:r>
          </w:p>
        </w:tc>
        <w:tc>
          <w:tcPr>
            <w:tcW w:w="6220" w:type="dxa"/>
          </w:tcPr>
          <w:p w:rsidR="000825C0" w:rsidRPr="00B22946" w:rsidRDefault="000825C0" w:rsidP="00B22946">
            <w:pPr>
              <w:spacing w:line="480" w:lineRule="auto"/>
              <w:jc w:val="center"/>
              <w:cnfStyle w:val="000000000000"/>
              <w:rPr>
                <w:rFonts w:cs="Times New Roman"/>
                <w:bCs/>
                <w:szCs w:val="24"/>
                <w:lang w:bidi="ar-EG"/>
              </w:rPr>
            </w:pPr>
            <w:r w:rsidRPr="00B22946">
              <w:rPr>
                <w:rFonts w:cs="Times New Roman"/>
                <w:bCs/>
                <w:szCs w:val="24"/>
                <w:lang w:bidi="ar-EG"/>
              </w:rPr>
              <w:t>Extended release</w:t>
            </w:r>
          </w:p>
        </w:tc>
      </w:tr>
    </w:tbl>
    <w:p w:rsidR="000825C0" w:rsidRPr="00B22946" w:rsidRDefault="000825C0" w:rsidP="00B22946">
      <w:pPr>
        <w:spacing w:line="480" w:lineRule="auto"/>
        <w:rPr>
          <w:rFonts w:cs="Times New Roman"/>
          <w:b/>
          <w:bCs/>
          <w:szCs w:val="24"/>
          <w:u w:val="single"/>
        </w:rPr>
      </w:pPr>
    </w:p>
    <w:p w:rsidR="002701D8" w:rsidRDefault="002701D8">
      <w:pPr>
        <w:rPr>
          <w:rFonts w:cs="Times New Roman"/>
          <w:b/>
          <w:bCs/>
          <w:szCs w:val="24"/>
        </w:rPr>
      </w:pPr>
      <w:r>
        <w:rPr>
          <w:rFonts w:cs="Times New Roman"/>
          <w:b/>
          <w:bCs/>
          <w:szCs w:val="24"/>
        </w:rPr>
        <w:br w:type="page"/>
      </w:r>
    </w:p>
    <w:p w:rsidR="002701D8" w:rsidRPr="00632C47" w:rsidRDefault="002701D8" w:rsidP="00632C47">
      <w:pPr>
        <w:pStyle w:val="Heading1"/>
        <w:spacing w:line="480" w:lineRule="auto"/>
        <w:jc w:val="center"/>
        <w:rPr>
          <w:rFonts w:ascii="Times New Roman" w:hAnsi="Times New Roman" w:cs="Times New Roman"/>
          <w:color w:val="auto"/>
          <w:sz w:val="24"/>
          <w:szCs w:val="24"/>
        </w:rPr>
      </w:pPr>
      <w:r w:rsidRPr="00632C47">
        <w:rPr>
          <w:rFonts w:ascii="Times New Roman" w:hAnsi="Times New Roman" w:cs="Times New Roman"/>
          <w:color w:val="auto"/>
          <w:sz w:val="24"/>
          <w:szCs w:val="24"/>
        </w:rPr>
        <w:t>Definitions</w:t>
      </w:r>
    </w:p>
    <w:p w:rsidR="0067321D" w:rsidRPr="00B22946" w:rsidRDefault="0067321D" w:rsidP="00B22946">
      <w:pPr>
        <w:spacing w:line="480" w:lineRule="auto"/>
        <w:rPr>
          <w:rFonts w:cs="Times New Roman"/>
          <w:bCs/>
          <w:szCs w:val="24"/>
        </w:rPr>
      </w:pPr>
      <w:r w:rsidRPr="00B22946">
        <w:rPr>
          <w:rFonts w:cs="Times New Roman"/>
          <w:b/>
          <w:bCs/>
          <w:szCs w:val="24"/>
        </w:rPr>
        <w:t xml:space="preserve">Medication discrepancies: </w:t>
      </w:r>
      <w:r w:rsidRPr="00B22946">
        <w:rPr>
          <w:rFonts w:cs="Times New Roman"/>
          <w:bCs/>
          <w:szCs w:val="24"/>
        </w:rPr>
        <w:t xml:space="preserve">any </w:t>
      </w:r>
      <w:r w:rsidR="00F563C2" w:rsidRPr="00B22946">
        <w:rPr>
          <w:rFonts w:cs="Times New Roman"/>
          <w:bCs/>
          <w:szCs w:val="24"/>
        </w:rPr>
        <w:t>difference between the admission</w:t>
      </w:r>
      <w:r w:rsidRPr="00B22946">
        <w:rPr>
          <w:rFonts w:cs="Times New Roman"/>
          <w:bCs/>
          <w:szCs w:val="24"/>
        </w:rPr>
        <w:t xml:space="preserve"> medication list and the medications a patient actually takes once at home.</w:t>
      </w:r>
    </w:p>
    <w:p w:rsidR="00266A73" w:rsidRDefault="00943826" w:rsidP="00B22946">
      <w:pPr>
        <w:spacing w:line="480" w:lineRule="auto"/>
        <w:rPr>
          <w:rFonts w:cs="Times New Roman"/>
          <w:bCs/>
          <w:szCs w:val="24"/>
        </w:rPr>
      </w:pPr>
      <w:r w:rsidRPr="00B22946">
        <w:rPr>
          <w:rFonts w:cs="Times New Roman"/>
          <w:b/>
          <w:szCs w:val="24"/>
        </w:rPr>
        <w:t xml:space="preserve">Intended </w:t>
      </w:r>
      <w:r w:rsidR="00B46F3C" w:rsidRPr="00B22946">
        <w:rPr>
          <w:rFonts w:cs="Times New Roman"/>
          <w:b/>
          <w:szCs w:val="24"/>
        </w:rPr>
        <w:t>discrepancy</w:t>
      </w:r>
      <w:r w:rsidR="00B46F3C" w:rsidRPr="00B22946">
        <w:rPr>
          <w:rFonts w:cs="Times New Roman"/>
          <w:bCs/>
          <w:szCs w:val="24"/>
        </w:rPr>
        <w:t>:</w:t>
      </w:r>
      <w:r w:rsidR="00632C47">
        <w:rPr>
          <w:rFonts w:cs="Times New Roman"/>
          <w:bCs/>
          <w:szCs w:val="24"/>
        </w:rPr>
        <w:t xml:space="preserve"> </w:t>
      </w:r>
      <w:r w:rsidR="00B46F3C" w:rsidRPr="00B22946">
        <w:rPr>
          <w:rFonts w:cs="Times New Roman"/>
          <w:bCs/>
          <w:szCs w:val="24"/>
        </w:rPr>
        <w:t xml:space="preserve">justified, </w:t>
      </w:r>
      <w:r w:rsidR="007A2838" w:rsidRPr="00B22946">
        <w:rPr>
          <w:rFonts w:cs="Times New Roman"/>
          <w:bCs/>
          <w:szCs w:val="24"/>
        </w:rPr>
        <w:t>intentional,</w:t>
      </w:r>
      <w:r w:rsidRPr="00B22946">
        <w:rPr>
          <w:rFonts w:cs="Times New Roman"/>
          <w:bCs/>
          <w:szCs w:val="24"/>
        </w:rPr>
        <w:t xml:space="preserve"> and appropriate </w:t>
      </w:r>
      <w:r w:rsidR="00B46F3C" w:rsidRPr="00B22946">
        <w:rPr>
          <w:rFonts w:cs="Times New Roman"/>
          <w:bCs/>
          <w:szCs w:val="24"/>
        </w:rPr>
        <w:t>discrepancy</w:t>
      </w:r>
      <w:r w:rsidR="00EC6F6C" w:rsidRPr="00B22946">
        <w:rPr>
          <w:rFonts w:cs="Times New Roman"/>
          <w:bCs/>
          <w:szCs w:val="24"/>
        </w:rPr>
        <w:t xml:space="preserve"> between </w:t>
      </w:r>
      <w:r w:rsidR="003A6038" w:rsidRPr="00B22946">
        <w:rPr>
          <w:rFonts w:cs="Times New Roman"/>
          <w:bCs/>
          <w:szCs w:val="24"/>
        </w:rPr>
        <w:t xml:space="preserve">patient current medication upon admission and patient medication order based on </w:t>
      </w:r>
      <w:r w:rsidR="00DA355A" w:rsidRPr="00B22946">
        <w:rPr>
          <w:rFonts w:cs="Times New Roman"/>
          <w:bCs/>
          <w:szCs w:val="24"/>
        </w:rPr>
        <w:t>patient care plan or patient clinical status.</w:t>
      </w:r>
    </w:p>
    <w:p w:rsidR="00DA355A" w:rsidRPr="00B22946" w:rsidRDefault="00DA355A" w:rsidP="00B22946">
      <w:pPr>
        <w:spacing w:line="480" w:lineRule="auto"/>
        <w:rPr>
          <w:rFonts w:cs="Times New Roman"/>
          <w:bCs/>
          <w:szCs w:val="24"/>
        </w:rPr>
      </w:pPr>
      <w:r w:rsidRPr="00B22946">
        <w:rPr>
          <w:rFonts w:cs="Times New Roman"/>
          <w:b/>
          <w:szCs w:val="24"/>
        </w:rPr>
        <w:t>Unintended discrepancy</w:t>
      </w:r>
      <w:r w:rsidRPr="00B22946">
        <w:rPr>
          <w:rFonts w:cs="Times New Roman"/>
          <w:bCs/>
          <w:szCs w:val="24"/>
        </w:rPr>
        <w:t xml:space="preserve">: unintentional changes in current patient medication </w:t>
      </w:r>
      <w:r w:rsidR="00883168" w:rsidRPr="00B22946">
        <w:rPr>
          <w:rFonts w:cs="Times New Roman"/>
          <w:bCs/>
          <w:szCs w:val="24"/>
        </w:rPr>
        <w:t xml:space="preserve">upon an admission like </w:t>
      </w:r>
      <w:r w:rsidR="00C93CE2" w:rsidRPr="00B22946">
        <w:rPr>
          <w:rFonts w:cs="Times New Roman"/>
          <w:bCs/>
          <w:szCs w:val="24"/>
        </w:rPr>
        <w:t>addition, omission</w:t>
      </w:r>
      <w:r w:rsidR="00883168" w:rsidRPr="00B22946">
        <w:rPr>
          <w:rFonts w:cs="Times New Roman"/>
          <w:bCs/>
          <w:szCs w:val="24"/>
        </w:rPr>
        <w:t xml:space="preserve"> or changing drug dose or frequency by the </w:t>
      </w:r>
      <w:r w:rsidR="00B93D13" w:rsidRPr="00B22946">
        <w:rPr>
          <w:rFonts w:cs="Times New Roman"/>
          <w:bCs/>
          <w:szCs w:val="24"/>
        </w:rPr>
        <w:t>p</w:t>
      </w:r>
      <w:r w:rsidR="00883168" w:rsidRPr="00B22946">
        <w:rPr>
          <w:rFonts w:cs="Times New Roman"/>
          <w:bCs/>
          <w:szCs w:val="24"/>
        </w:rPr>
        <w:t>rescriber without any justification or explanation base on</w:t>
      </w:r>
      <w:r w:rsidR="000C252C" w:rsidRPr="00B22946">
        <w:rPr>
          <w:rFonts w:cs="Times New Roman"/>
          <w:bCs/>
          <w:szCs w:val="24"/>
        </w:rPr>
        <w:t xml:space="preserve"> a</w:t>
      </w:r>
      <w:r w:rsidR="00883168" w:rsidRPr="00B22946">
        <w:rPr>
          <w:rFonts w:cs="Times New Roman"/>
          <w:bCs/>
          <w:szCs w:val="24"/>
        </w:rPr>
        <w:t xml:space="preserve"> patient treatment </w:t>
      </w:r>
      <w:r w:rsidR="000C252C" w:rsidRPr="00B22946">
        <w:rPr>
          <w:rFonts w:cs="Times New Roman"/>
          <w:bCs/>
          <w:szCs w:val="24"/>
        </w:rPr>
        <w:t xml:space="preserve">plan or a clinical status that may result in adverse drug reaction </w:t>
      </w:r>
      <w:r w:rsidR="00C93CE2" w:rsidRPr="00B22946">
        <w:rPr>
          <w:rFonts w:cs="Times New Roman"/>
          <w:bCs/>
          <w:szCs w:val="24"/>
        </w:rPr>
        <w:t>and patient harm.</w:t>
      </w:r>
    </w:p>
    <w:p w:rsidR="00151A2E" w:rsidRPr="00B22946" w:rsidRDefault="00151A2E" w:rsidP="00B22946">
      <w:pPr>
        <w:spacing w:line="480" w:lineRule="auto"/>
        <w:rPr>
          <w:rFonts w:cs="Times New Roman"/>
          <w:bCs/>
          <w:szCs w:val="24"/>
        </w:rPr>
      </w:pPr>
      <w:r w:rsidRPr="00B22946">
        <w:rPr>
          <w:rFonts w:cs="Times New Roman"/>
          <w:b/>
          <w:szCs w:val="24"/>
        </w:rPr>
        <w:t>Omission</w:t>
      </w:r>
      <w:r w:rsidRPr="00B22946">
        <w:rPr>
          <w:rFonts w:cs="Times New Roman"/>
          <w:bCs/>
          <w:szCs w:val="24"/>
        </w:rPr>
        <w:t xml:space="preserve">: </w:t>
      </w:r>
      <w:r w:rsidR="005C4EF5" w:rsidRPr="00B22946">
        <w:rPr>
          <w:rFonts w:cs="Times New Roman"/>
          <w:bCs/>
          <w:szCs w:val="24"/>
        </w:rPr>
        <w:t xml:space="preserve">is </w:t>
      </w:r>
      <w:r w:rsidR="009A527C" w:rsidRPr="00B22946">
        <w:rPr>
          <w:rFonts w:cs="Times New Roman"/>
          <w:bCs/>
          <w:szCs w:val="24"/>
        </w:rPr>
        <w:t xml:space="preserve">a medication </w:t>
      </w:r>
      <w:r w:rsidR="005C4EF5" w:rsidRPr="00B22946">
        <w:rPr>
          <w:rFonts w:cs="Times New Roman"/>
          <w:bCs/>
          <w:szCs w:val="24"/>
        </w:rPr>
        <w:t xml:space="preserve">error when </w:t>
      </w:r>
      <w:r w:rsidR="00334A3C" w:rsidRPr="00B22946">
        <w:rPr>
          <w:rFonts w:cs="Times New Roman"/>
          <w:bCs/>
          <w:szCs w:val="24"/>
        </w:rPr>
        <w:t xml:space="preserve">a </w:t>
      </w:r>
      <w:r w:rsidR="005C4EF5" w:rsidRPr="00B22946">
        <w:rPr>
          <w:rFonts w:cs="Times New Roman"/>
          <w:bCs/>
          <w:szCs w:val="24"/>
        </w:rPr>
        <w:t xml:space="preserve">physician fails to order a </w:t>
      </w:r>
      <w:r w:rsidR="00CE0ECF" w:rsidRPr="00B22946">
        <w:rPr>
          <w:rFonts w:cs="Times New Roman"/>
          <w:bCs/>
          <w:szCs w:val="24"/>
        </w:rPr>
        <w:t>medication that</w:t>
      </w:r>
      <w:r w:rsidR="005C4EF5" w:rsidRPr="00B22946">
        <w:rPr>
          <w:rFonts w:cs="Times New Roman"/>
          <w:bCs/>
          <w:szCs w:val="24"/>
        </w:rPr>
        <w:t xml:space="preserve"> a patient is on before </w:t>
      </w:r>
      <w:r w:rsidR="00CE0ECF" w:rsidRPr="00B22946">
        <w:rPr>
          <w:rFonts w:cs="Times New Roman"/>
          <w:bCs/>
          <w:szCs w:val="24"/>
        </w:rPr>
        <w:t>hospital admission without clinical justification</w:t>
      </w:r>
      <w:r w:rsidR="00A463AC" w:rsidRPr="00B22946">
        <w:rPr>
          <w:rFonts w:cs="Times New Roman"/>
          <w:bCs/>
          <w:szCs w:val="24"/>
        </w:rPr>
        <w:t xml:space="preserve"> that may ca</w:t>
      </w:r>
      <w:r w:rsidR="009A527C" w:rsidRPr="00B22946">
        <w:rPr>
          <w:rFonts w:cs="Times New Roman"/>
          <w:bCs/>
          <w:szCs w:val="24"/>
        </w:rPr>
        <w:t>use patient harm.</w:t>
      </w:r>
    </w:p>
    <w:p w:rsidR="009A527C" w:rsidRPr="00B22946" w:rsidRDefault="009A527C" w:rsidP="00B22946">
      <w:pPr>
        <w:spacing w:line="480" w:lineRule="auto"/>
        <w:rPr>
          <w:rFonts w:cs="Times New Roman"/>
          <w:b/>
          <w:szCs w:val="24"/>
        </w:rPr>
      </w:pPr>
      <w:r w:rsidRPr="00B22946">
        <w:rPr>
          <w:rFonts w:cs="Times New Roman"/>
          <w:b/>
          <w:szCs w:val="24"/>
        </w:rPr>
        <w:t>Commission</w:t>
      </w:r>
      <w:r w:rsidRPr="00B22946">
        <w:rPr>
          <w:rFonts w:cs="Times New Roman"/>
          <w:bCs/>
          <w:szCs w:val="24"/>
        </w:rPr>
        <w:t xml:space="preserve">: </w:t>
      </w:r>
      <w:r w:rsidR="002F2745" w:rsidRPr="00B22946">
        <w:rPr>
          <w:rFonts w:cs="Times New Roman"/>
          <w:bCs/>
          <w:szCs w:val="24"/>
        </w:rPr>
        <w:t>is a me</w:t>
      </w:r>
      <w:r w:rsidR="00272C21" w:rsidRPr="00B22946">
        <w:rPr>
          <w:rFonts w:cs="Times New Roman"/>
          <w:bCs/>
          <w:szCs w:val="24"/>
        </w:rPr>
        <w:t xml:space="preserve">dication error when </w:t>
      </w:r>
      <w:r w:rsidR="00334A3C" w:rsidRPr="00B22946">
        <w:rPr>
          <w:rFonts w:cs="Times New Roman"/>
          <w:bCs/>
          <w:szCs w:val="24"/>
        </w:rPr>
        <w:t xml:space="preserve">a </w:t>
      </w:r>
      <w:r w:rsidR="00272C21" w:rsidRPr="00B22946">
        <w:rPr>
          <w:rFonts w:cs="Times New Roman"/>
          <w:bCs/>
          <w:szCs w:val="24"/>
        </w:rPr>
        <w:t>physician prescribe</w:t>
      </w:r>
      <w:r w:rsidR="00334A3C" w:rsidRPr="00B22946">
        <w:rPr>
          <w:rFonts w:cs="Times New Roman"/>
          <w:bCs/>
          <w:szCs w:val="24"/>
        </w:rPr>
        <w:t>s</w:t>
      </w:r>
      <w:r w:rsidRPr="00B22946">
        <w:rPr>
          <w:rFonts w:cs="Times New Roman"/>
          <w:bCs/>
          <w:szCs w:val="24"/>
        </w:rPr>
        <w:t xml:space="preserve"> a new medication </w:t>
      </w:r>
      <w:r w:rsidR="008F7AA8" w:rsidRPr="00B22946">
        <w:rPr>
          <w:rFonts w:cs="Times New Roman"/>
          <w:bCs/>
          <w:szCs w:val="24"/>
        </w:rPr>
        <w:t xml:space="preserve">to a patient at hospital </w:t>
      </w:r>
      <w:r w:rsidR="00291199" w:rsidRPr="00B22946">
        <w:rPr>
          <w:rFonts w:cs="Times New Roman"/>
          <w:bCs/>
          <w:szCs w:val="24"/>
        </w:rPr>
        <w:t>admission without</w:t>
      </w:r>
      <w:r w:rsidR="008F7AA8" w:rsidRPr="00B22946">
        <w:rPr>
          <w:rFonts w:cs="Times New Roman"/>
          <w:bCs/>
          <w:szCs w:val="24"/>
        </w:rPr>
        <w:t xml:space="preserve"> clinical justification </w:t>
      </w:r>
      <w:r w:rsidR="004D1209" w:rsidRPr="00B22946">
        <w:rPr>
          <w:rFonts w:cs="Times New Roman"/>
          <w:bCs/>
          <w:szCs w:val="24"/>
        </w:rPr>
        <w:t xml:space="preserve">while the patient did not take that medication </w:t>
      </w:r>
      <w:r w:rsidR="0039307B" w:rsidRPr="00B22946">
        <w:rPr>
          <w:rFonts w:cs="Times New Roman"/>
          <w:bCs/>
          <w:szCs w:val="24"/>
        </w:rPr>
        <w:t xml:space="preserve">before hospital admission </w:t>
      </w:r>
      <w:r w:rsidR="002F2745" w:rsidRPr="00B22946">
        <w:rPr>
          <w:rFonts w:cs="Times New Roman"/>
          <w:bCs/>
          <w:szCs w:val="24"/>
        </w:rPr>
        <w:t>that may harm the patient</w:t>
      </w:r>
    </w:p>
    <w:p w:rsidR="00804A25" w:rsidRDefault="00297FFD" w:rsidP="00B22946">
      <w:pPr>
        <w:spacing w:line="480" w:lineRule="auto"/>
        <w:rPr>
          <w:rFonts w:cs="Times New Roman"/>
          <w:bCs/>
          <w:szCs w:val="24"/>
        </w:rPr>
      </w:pPr>
      <w:r w:rsidRPr="00B22946">
        <w:rPr>
          <w:rFonts w:cs="Times New Roman"/>
          <w:b/>
          <w:bCs/>
          <w:szCs w:val="24"/>
        </w:rPr>
        <w:t xml:space="preserve">Medication </w:t>
      </w:r>
      <w:r w:rsidR="007D0FAA" w:rsidRPr="00B22946">
        <w:rPr>
          <w:rFonts w:cs="Times New Roman"/>
          <w:b/>
          <w:bCs/>
          <w:szCs w:val="24"/>
        </w:rPr>
        <w:t>Reconciliation:</w:t>
      </w:r>
      <w:r w:rsidR="007D0FAA" w:rsidRPr="00B22946">
        <w:rPr>
          <w:rFonts w:cs="Times New Roman"/>
          <w:bCs/>
          <w:szCs w:val="24"/>
        </w:rPr>
        <w:t xml:space="preserve"> the</w:t>
      </w:r>
      <w:r w:rsidRPr="00B22946">
        <w:rPr>
          <w:rFonts w:cs="Times New Roman"/>
          <w:bCs/>
          <w:szCs w:val="24"/>
        </w:rPr>
        <w:t xml:space="preserve"> </w:t>
      </w:r>
      <w:r w:rsidR="00804A25" w:rsidRPr="00B22946">
        <w:rPr>
          <w:rFonts w:cs="Times New Roman"/>
          <w:bCs/>
          <w:szCs w:val="24"/>
        </w:rPr>
        <w:t>procedure</w:t>
      </w:r>
      <w:r w:rsidRPr="00B22946">
        <w:rPr>
          <w:rFonts w:cs="Times New Roman"/>
          <w:bCs/>
          <w:szCs w:val="24"/>
        </w:rPr>
        <w:t xml:space="preserve"> of </w:t>
      </w:r>
      <w:r w:rsidR="00804A25">
        <w:rPr>
          <w:rFonts w:cs="Times New Roman"/>
          <w:bCs/>
          <w:szCs w:val="24"/>
        </w:rPr>
        <w:t xml:space="preserve">generating the most creating the </w:t>
      </w:r>
      <w:r w:rsidR="00AD2941">
        <w:rPr>
          <w:rFonts w:cs="Times New Roman"/>
          <w:bCs/>
          <w:szCs w:val="24"/>
        </w:rPr>
        <w:t>most correct</w:t>
      </w:r>
      <w:r w:rsidR="00804A25">
        <w:rPr>
          <w:rFonts w:cs="Times New Roman"/>
          <w:bCs/>
          <w:szCs w:val="24"/>
        </w:rPr>
        <w:t xml:space="preserve"> medication list covering all the drugs that patient was taking preadmission and during hospital stay with the goal of minimizing unintended discrepancies.</w:t>
      </w:r>
    </w:p>
    <w:p w:rsidR="00484D5E" w:rsidRPr="00B22946" w:rsidRDefault="00CF50A6" w:rsidP="00B22946">
      <w:pPr>
        <w:spacing w:line="480" w:lineRule="auto"/>
        <w:rPr>
          <w:rFonts w:cs="Times New Roman"/>
          <w:szCs w:val="24"/>
        </w:rPr>
      </w:pPr>
      <w:r w:rsidRPr="00B22946">
        <w:rPr>
          <w:rFonts w:cs="Times New Roman"/>
          <w:b/>
          <w:bCs/>
          <w:szCs w:val="24"/>
        </w:rPr>
        <w:t>Adverse</w:t>
      </w:r>
      <w:r w:rsidR="00873F47" w:rsidRPr="00B22946">
        <w:rPr>
          <w:rFonts w:cs="Times New Roman"/>
          <w:b/>
          <w:bCs/>
          <w:szCs w:val="24"/>
        </w:rPr>
        <w:t xml:space="preserve"> drug </w:t>
      </w:r>
      <w:r w:rsidR="004B71B3" w:rsidRPr="00B22946">
        <w:rPr>
          <w:rFonts w:cs="Times New Roman"/>
          <w:b/>
          <w:bCs/>
          <w:szCs w:val="24"/>
        </w:rPr>
        <w:t>reaction</w:t>
      </w:r>
      <w:r w:rsidR="0068436F">
        <w:rPr>
          <w:rFonts w:cs="Times New Roman"/>
          <w:b/>
          <w:bCs/>
          <w:szCs w:val="24"/>
        </w:rPr>
        <w:t xml:space="preserve">: </w:t>
      </w:r>
      <w:r w:rsidR="0068436F">
        <w:rPr>
          <w:rFonts w:cs="Times New Roman"/>
          <w:szCs w:val="24"/>
        </w:rPr>
        <w:t>A devastating reaction to drug administered to a patient.</w:t>
      </w:r>
    </w:p>
    <w:p w:rsidR="000C0F7B" w:rsidRPr="00B22946" w:rsidRDefault="00B45B6D" w:rsidP="00B22946">
      <w:pPr>
        <w:spacing w:line="480" w:lineRule="auto"/>
        <w:rPr>
          <w:rStyle w:val="e24kjd"/>
          <w:rFonts w:cs="Times New Roman"/>
          <w:szCs w:val="24"/>
        </w:rPr>
      </w:pPr>
      <w:r w:rsidRPr="00B22946">
        <w:rPr>
          <w:rFonts w:cs="Times New Roman"/>
          <w:b/>
          <w:szCs w:val="24"/>
        </w:rPr>
        <w:t>Patient medication history</w:t>
      </w:r>
      <w:r w:rsidRPr="00B22946">
        <w:rPr>
          <w:rFonts w:cs="Times New Roman"/>
          <w:szCs w:val="24"/>
        </w:rPr>
        <w:t xml:space="preserve">: </w:t>
      </w:r>
      <w:r w:rsidR="00B216D0">
        <w:rPr>
          <w:rFonts w:cs="Times New Roman"/>
          <w:szCs w:val="24"/>
        </w:rPr>
        <w:t xml:space="preserve"> this is a list of all the drugs the patient has been taking prior to admission.</w:t>
      </w:r>
    </w:p>
    <w:p w:rsidR="00BC314D" w:rsidRPr="00B22946" w:rsidRDefault="00BC314D" w:rsidP="00B22946">
      <w:pPr>
        <w:spacing w:line="480" w:lineRule="auto"/>
        <w:rPr>
          <w:rStyle w:val="e24kjd"/>
          <w:rFonts w:cs="Times New Roman"/>
          <w:szCs w:val="24"/>
        </w:rPr>
      </w:pPr>
      <w:r w:rsidRPr="00B22946">
        <w:rPr>
          <w:rStyle w:val="e24kjd"/>
          <w:rFonts w:cs="Times New Roman"/>
          <w:b/>
          <w:szCs w:val="24"/>
        </w:rPr>
        <w:t>Transition points</w:t>
      </w:r>
      <w:r w:rsidRPr="00B22946">
        <w:rPr>
          <w:rStyle w:val="e24kjd"/>
          <w:rFonts w:cs="Times New Roman"/>
          <w:szCs w:val="24"/>
        </w:rPr>
        <w:t xml:space="preserve">: </w:t>
      </w:r>
      <w:r w:rsidR="00B216D0">
        <w:rPr>
          <w:rStyle w:val="e24kjd"/>
          <w:rFonts w:cs="Times New Roman"/>
          <w:szCs w:val="24"/>
        </w:rPr>
        <w:t xml:space="preserve">this is the change in health providers and facilities as the patient’s health status change. </w:t>
      </w:r>
    </w:p>
    <w:p w:rsidR="00BF1169" w:rsidRPr="00B22946" w:rsidRDefault="000C0F7B" w:rsidP="00B22946">
      <w:pPr>
        <w:pStyle w:val="Heading1"/>
        <w:spacing w:line="480" w:lineRule="auto"/>
        <w:rPr>
          <w:rFonts w:ascii="Times New Roman" w:hAnsi="Times New Roman" w:cs="Times New Roman"/>
          <w:color w:val="auto"/>
          <w:sz w:val="24"/>
          <w:szCs w:val="24"/>
        </w:rPr>
      </w:pPr>
      <w:r w:rsidRPr="00B22946">
        <w:rPr>
          <w:rStyle w:val="e24kjd"/>
          <w:rFonts w:ascii="Times New Roman" w:hAnsi="Times New Roman" w:cs="Times New Roman"/>
          <w:sz w:val="24"/>
          <w:szCs w:val="24"/>
        </w:rPr>
        <w:br w:type="page"/>
      </w:r>
    </w:p>
    <w:p w:rsidR="00632C47" w:rsidRPr="00632C47" w:rsidRDefault="00632C47" w:rsidP="00632C47">
      <w:pPr>
        <w:pStyle w:val="Heading1"/>
        <w:spacing w:line="480" w:lineRule="auto"/>
        <w:rPr>
          <w:rFonts w:ascii="Times New Roman" w:hAnsi="Times New Roman" w:cs="Times New Roman"/>
          <w:color w:val="auto"/>
          <w:sz w:val="24"/>
          <w:szCs w:val="24"/>
        </w:rPr>
      </w:pPr>
      <w:r w:rsidRPr="00632C47">
        <w:rPr>
          <w:rFonts w:ascii="Times New Roman" w:hAnsi="Times New Roman" w:cs="Times New Roman"/>
          <w:color w:val="auto"/>
          <w:sz w:val="24"/>
          <w:szCs w:val="24"/>
        </w:rPr>
        <w:t>Introduction</w:t>
      </w:r>
    </w:p>
    <w:p w:rsidR="00910D0D" w:rsidRPr="00B22946" w:rsidRDefault="00910D0D" w:rsidP="00B22946">
      <w:pPr>
        <w:spacing w:line="480" w:lineRule="auto"/>
        <w:rPr>
          <w:rFonts w:cs="Times New Roman"/>
          <w:szCs w:val="24"/>
        </w:rPr>
      </w:pPr>
      <w:r w:rsidRPr="00B22946">
        <w:rPr>
          <w:rFonts w:cs="Times New Roman"/>
          <w:szCs w:val="24"/>
        </w:rPr>
        <w:t>A patient medication history i</w:t>
      </w:r>
      <w:r w:rsidR="002E59AD" w:rsidRPr="00B22946">
        <w:rPr>
          <w:rFonts w:cs="Times New Roman"/>
          <w:szCs w:val="24"/>
        </w:rPr>
        <w:t xml:space="preserve">s an </w:t>
      </w:r>
      <w:r w:rsidRPr="00B22946">
        <w:rPr>
          <w:rFonts w:cs="Times New Roman"/>
          <w:szCs w:val="24"/>
        </w:rPr>
        <w:t>accurate, detailed, and complete list of the</w:t>
      </w:r>
      <w:r w:rsidR="0072182F" w:rsidRPr="00B22946">
        <w:rPr>
          <w:rFonts w:cs="Times New Roman"/>
          <w:szCs w:val="24"/>
        </w:rPr>
        <w:t xml:space="preserve"> medication that the patient has</w:t>
      </w:r>
      <w:r w:rsidRPr="00B22946">
        <w:rPr>
          <w:rFonts w:cs="Times New Roman"/>
          <w:szCs w:val="24"/>
        </w:rPr>
        <w:t xml:space="preserve"> taken or </w:t>
      </w:r>
      <w:r w:rsidR="006E5A5D" w:rsidRPr="00B22946">
        <w:rPr>
          <w:rFonts w:cs="Times New Roman"/>
          <w:szCs w:val="24"/>
        </w:rPr>
        <w:t xml:space="preserve">is </w:t>
      </w:r>
      <w:r w:rsidRPr="00B22946">
        <w:rPr>
          <w:rFonts w:cs="Times New Roman"/>
          <w:szCs w:val="24"/>
        </w:rPr>
        <w:t>currently taking before admission. The list includes overall and comprehensive patient prescribed, non-prescribed, and complementary medication list</w:t>
      </w:r>
      <w:r w:rsidR="0043293F" w:rsidRPr="00B22946">
        <w:rPr>
          <w:rFonts w:cs="Times New Roman"/>
          <w:szCs w:val="24"/>
        </w:rPr>
        <w:t>. The list includes</w:t>
      </w:r>
      <w:r w:rsidR="005824CB" w:rsidRPr="00B22946">
        <w:rPr>
          <w:rFonts w:cs="Times New Roman"/>
          <w:szCs w:val="24"/>
        </w:rPr>
        <w:t xml:space="preserve"> name,</w:t>
      </w:r>
      <w:r w:rsidR="00632C47">
        <w:rPr>
          <w:rFonts w:cs="Times New Roman"/>
          <w:szCs w:val="24"/>
        </w:rPr>
        <w:t xml:space="preserve"> </w:t>
      </w:r>
      <w:r w:rsidRPr="00B22946">
        <w:rPr>
          <w:rFonts w:cs="Times New Roman"/>
          <w:szCs w:val="24"/>
        </w:rPr>
        <w:t>dose, frequency, formulation and strength of each medication plus allergy, ADRs, and patie</w:t>
      </w:r>
      <w:r w:rsidR="00210437" w:rsidRPr="00B22946">
        <w:rPr>
          <w:rFonts w:cs="Times New Roman"/>
          <w:szCs w:val="24"/>
        </w:rPr>
        <w:t xml:space="preserve">nt adherence to their </w:t>
      </w:r>
      <w:r w:rsidRPr="00B22946">
        <w:rPr>
          <w:rFonts w:cs="Times New Roman"/>
          <w:szCs w:val="24"/>
        </w:rPr>
        <w:t>medication (</w:t>
      </w:r>
      <w:r w:rsidR="00C77E1F" w:rsidRPr="00B22946">
        <w:rPr>
          <w:rFonts w:cs="Times New Roman"/>
          <w:szCs w:val="24"/>
        </w:rPr>
        <w:t>Gleason et al</w:t>
      </w:r>
      <w:r w:rsidRPr="00B22946">
        <w:rPr>
          <w:rFonts w:cs="Times New Roman"/>
          <w:szCs w:val="24"/>
        </w:rPr>
        <w:t xml:space="preserve">. 2004, Helga Brake et al. 2012). </w:t>
      </w:r>
      <w:r w:rsidR="00BD4977" w:rsidRPr="00B22946">
        <w:rPr>
          <w:rFonts w:cs="Times New Roman"/>
          <w:szCs w:val="24"/>
        </w:rPr>
        <w:t>A physician obtai</w:t>
      </w:r>
      <w:r w:rsidR="00441C81">
        <w:rPr>
          <w:rFonts w:cs="Times New Roman"/>
          <w:szCs w:val="24"/>
        </w:rPr>
        <w:t>ns the medication history upon arrival of a patient</w:t>
      </w:r>
      <w:r w:rsidR="00BD4977" w:rsidRPr="00B22946">
        <w:rPr>
          <w:rFonts w:cs="Times New Roman"/>
          <w:szCs w:val="24"/>
        </w:rPr>
        <w:t xml:space="preserve"> for</w:t>
      </w:r>
      <w:r w:rsidR="00441C81">
        <w:rPr>
          <w:rFonts w:cs="Times New Roman"/>
          <w:szCs w:val="24"/>
        </w:rPr>
        <w:t xml:space="preserve"> both</w:t>
      </w:r>
      <w:r w:rsidR="00BD4977" w:rsidRPr="00B22946">
        <w:rPr>
          <w:rFonts w:cs="Times New Roman"/>
          <w:szCs w:val="24"/>
        </w:rPr>
        <w:t xml:space="preserve"> emergency</w:t>
      </w:r>
      <w:r w:rsidR="00441C81">
        <w:rPr>
          <w:rFonts w:cs="Times New Roman"/>
          <w:szCs w:val="24"/>
        </w:rPr>
        <w:t xml:space="preserve"> and</w:t>
      </w:r>
      <w:r w:rsidR="00BD4977" w:rsidRPr="00B22946">
        <w:rPr>
          <w:rFonts w:cs="Times New Roman"/>
          <w:szCs w:val="24"/>
        </w:rPr>
        <w:t xml:space="preserve"> scheduled</w:t>
      </w:r>
      <w:r w:rsidR="00441C81">
        <w:rPr>
          <w:rFonts w:cs="Times New Roman"/>
          <w:szCs w:val="24"/>
        </w:rPr>
        <w:t xml:space="preserve"> admission</w:t>
      </w:r>
      <w:r w:rsidR="00E366BF" w:rsidRPr="00B22946">
        <w:rPr>
          <w:rFonts w:cs="Times New Roman"/>
          <w:szCs w:val="24"/>
        </w:rPr>
        <w:t>.</w:t>
      </w:r>
      <w:r w:rsidR="00632C47">
        <w:rPr>
          <w:rFonts w:cs="Times New Roman"/>
          <w:szCs w:val="24"/>
        </w:rPr>
        <w:t xml:space="preserve"> </w:t>
      </w:r>
      <w:r w:rsidR="00DE1F3E" w:rsidRPr="00B22946">
        <w:rPr>
          <w:rFonts w:cs="Times New Roman"/>
          <w:szCs w:val="24"/>
        </w:rPr>
        <w:t xml:space="preserve">Incomplete and inaccurate obtaining and reporting </w:t>
      </w:r>
      <w:r w:rsidR="004355D5" w:rsidRPr="00B22946">
        <w:rPr>
          <w:rFonts w:cs="Times New Roman"/>
          <w:szCs w:val="24"/>
        </w:rPr>
        <w:t xml:space="preserve">of </w:t>
      </w:r>
      <w:r w:rsidR="00DE1F3E" w:rsidRPr="00B22946">
        <w:rPr>
          <w:rFonts w:cs="Times New Roman"/>
          <w:szCs w:val="24"/>
        </w:rPr>
        <w:t>patient medication history upon</w:t>
      </w:r>
      <w:r w:rsidR="00632C47">
        <w:rPr>
          <w:rFonts w:cs="Times New Roman"/>
          <w:szCs w:val="24"/>
        </w:rPr>
        <w:t xml:space="preserve"> </w:t>
      </w:r>
      <w:r w:rsidR="00DE1F3E" w:rsidRPr="00B22946">
        <w:rPr>
          <w:rFonts w:cs="Times New Roman"/>
          <w:szCs w:val="24"/>
        </w:rPr>
        <w:t>hospital admission is an extensive problem</w:t>
      </w:r>
      <w:r w:rsidR="00AB6BE1" w:rsidRPr="00B22946">
        <w:rPr>
          <w:rFonts w:cs="Times New Roman"/>
          <w:szCs w:val="24"/>
        </w:rPr>
        <w:t xml:space="preserve">.  This issue was discovered in </w:t>
      </w:r>
      <w:r w:rsidR="00DE1F3E" w:rsidRPr="00B22946">
        <w:rPr>
          <w:rFonts w:cs="Times New Roman"/>
          <w:szCs w:val="24"/>
        </w:rPr>
        <w:t xml:space="preserve">1981 when Leister </w:t>
      </w:r>
      <w:r w:rsidR="005824CB" w:rsidRPr="00B22946">
        <w:rPr>
          <w:rFonts w:cs="Times New Roman"/>
          <w:szCs w:val="24"/>
        </w:rPr>
        <w:t>(Hogg et al. 2015)</w:t>
      </w:r>
      <w:r w:rsidR="00DE1F3E" w:rsidRPr="00B22946">
        <w:rPr>
          <w:rFonts w:cs="Times New Roman"/>
          <w:szCs w:val="24"/>
        </w:rPr>
        <w:t>and his colle</w:t>
      </w:r>
      <w:r w:rsidR="00AB6BE1" w:rsidRPr="00B22946">
        <w:rPr>
          <w:rFonts w:cs="Times New Roman"/>
          <w:szCs w:val="24"/>
        </w:rPr>
        <w:t>a</w:t>
      </w:r>
      <w:r w:rsidR="00DE1F3E" w:rsidRPr="00B22946">
        <w:rPr>
          <w:rFonts w:cs="Times New Roman"/>
          <w:szCs w:val="24"/>
        </w:rPr>
        <w:t>g</w:t>
      </w:r>
      <w:r w:rsidR="00AB6BE1" w:rsidRPr="00B22946">
        <w:rPr>
          <w:rFonts w:cs="Times New Roman"/>
          <w:szCs w:val="24"/>
        </w:rPr>
        <w:t>u</w:t>
      </w:r>
      <w:r w:rsidR="00DE1F3E" w:rsidRPr="00B22946">
        <w:rPr>
          <w:rFonts w:cs="Times New Roman"/>
          <w:szCs w:val="24"/>
        </w:rPr>
        <w:t>es reported a high difference between the drug lists recorded by a physician, the pharmacy patient medication profile</w:t>
      </w:r>
      <w:r w:rsidR="00AB6BE1" w:rsidRPr="00B22946">
        <w:rPr>
          <w:rFonts w:cs="Times New Roman"/>
          <w:szCs w:val="24"/>
        </w:rPr>
        <w:t>,</w:t>
      </w:r>
      <w:r w:rsidR="00DE1F3E" w:rsidRPr="00B22946">
        <w:rPr>
          <w:rFonts w:cs="Times New Roman"/>
          <w:szCs w:val="24"/>
        </w:rPr>
        <w:t xml:space="preserve"> and the patient’s actual medication list collected by </w:t>
      </w:r>
      <w:r w:rsidR="00AB6BE1" w:rsidRPr="00B22946">
        <w:rPr>
          <w:rFonts w:cs="Times New Roman"/>
          <w:szCs w:val="24"/>
        </w:rPr>
        <w:t xml:space="preserve">the interview with the patient. </w:t>
      </w:r>
      <w:r w:rsidR="00441645" w:rsidRPr="00B22946">
        <w:rPr>
          <w:rFonts w:cs="Times New Roman"/>
          <w:szCs w:val="24"/>
        </w:rPr>
        <w:t xml:space="preserve">Since then, </w:t>
      </w:r>
      <w:r w:rsidR="00DE1F3E" w:rsidRPr="00B22946">
        <w:rPr>
          <w:rFonts w:cs="Times New Roman"/>
          <w:szCs w:val="24"/>
        </w:rPr>
        <w:t xml:space="preserve">many researchers in the health care field </w:t>
      </w:r>
      <w:r w:rsidR="00441645" w:rsidRPr="00B22946">
        <w:rPr>
          <w:rFonts w:cs="Times New Roman"/>
          <w:szCs w:val="24"/>
        </w:rPr>
        <w:t xml:space="preserve">have </w:t>
      </w:r>
      <w:r w:rsidR="000F40BF" w:rsidRPr="00B22946">
        <w:rPr>
          <w:rFonts w:cs="Times New Roman"/>
          <w:szCs w:val="24"/>
        </w:rPr>
        <w:t xml:space="preserve">reported similar discrepancies </w:t>
      </w:r>
      <w:r w:rsidR="00DE1F3E" w:rsidRPr="00B22946">
        <w:rPr>
          <w:rFonts w:cs="Times New Roman"/>
          <w:szCs w:val="24"/>
        </w:rPr>
        <w:t>(</w:t>
      </w:r>
      <w:r w:rsidR="00C77E1F" w:rsidRPr="00B22946">
        <w:rPr>
          <w:rFonts w:cs="Times New Roman"/>
          <w:szCs w:val="24"/>
        </w:rPr>
        <w:t>Gleason</w:t>
      </w:r>
      <w:r w:rsidR="00632C47">
        <w:rPr>
          <w:rFonts w:cs="Times New Roman"/>
          <w:szCs w:val="24"/>
        </w:rPr>
        <w:t xml:space="preserve"> </w:t>
      </w:r>
      <w:r w:rsidR="00DE1F3E" w:rsidRPr="00B22946">
        <w:rPr>
          <w:rFonts w:cs="Times New Roman"/>
          <w:szCs w:val="24"/>
        </w:rPr>
        <w:t>et al.</w:t>
      </w:r>
      <w:r w:rsidR="00632C47">
        <w:rPr>
          <w:rFonts w:cs="Times New Roman"/>
          <w:szCs w:val="24"/>
        </w:rPr>
        <w:t>,</w:t>
      </w:r>
      <w:r w:rsidR="00DE1F3E" w:rsidRPr="00B22946">
        <w:rPr>
          <w:rFonts w:cs="Times New Roman"/>
          <w:szCs w:val="24"/>
        </w:rPr>
        <w:t xml:space="preserve"> 2004)</w:t>
      </w:r>
      <w:r w:rsidR="000F40BF" w:rsidRPr="00B22946">
        <w:rPr>
          <w:rFonts w:cs="Times New Roman"/>
          <w:szCs w:val="24"/>
        </w:rPr>
        <w:t>.</w:t>
      </w:r>
    </w:p>
    <w:p w:rsidR="00DE1F3E" w:rsidRPr="00B22946" w:rsidRDefault="00B4300A" w:rsidP="00B22946">
      <w:pPr>
        <w:spacing w:line="480" w:lineRule="auto"/>
        <w:rPr>
          <w:rFonts w:cs="Times New Roman"/>
          <w:szCs w:val="24"/>
        </w:rPr>
      </w:pPr>
      <w:r w:rsidRPr="00B22946">
        <w:rPr>
          <w:rFonts w:cs="Times New Roman"/>
          <w:szCs w:val="24"/>
        </w:rPr>
        <w:t xml:space="preserve"> Errors in medication history have been prevalent in the healthcare industry with most of them resulting from omissions. In a s</w:t>
      </w:r>
      <w:r w:rsidR="005824CB" w:rsidRPr="00B22946">
        <w:rPr>
          <w:rFonts w:cs="Times New Roman"/>
          <w:szCs w:val="24"/>
        </w:rPr>
        <w:t>tudy conducted in 2005, out of</w:t>
      </w:r>
      <w:r w:rsidRPr="00B22946">
        <w:rPr>
          <w:rFonts w:cs="Times New Roman"/>
          <w:szCs w:val="24"/>
        </w:rPr>
        <w:t xml:space="preserve"> 151 participants,  81 of them (53.6 %)  had at least one discrepancy in their medication history</w:t>
      </w:r>
      <w:r w:rsidR="00B36BFB" w:rsidRPr="00B22946">
        <w:rPr>
          <w:rFonts w:cs="Times New Roman"/>
          <w:szCs w:val="24"/>
        </w:rPr>
        <w:t xml:space="preserve">; </w:t>
      </w:r>
      <w:r w:rsidR="000132C5" w:rsidRPr="00B22946">
        <w:rPr>
          <w:rFonts w:cs="Times New Roman"/>
          <w:szCs w:val="24"/>
        </w:rPr>
        <w:t>46.4%of these discrepancies were unintended omissions and resulted in devastating effects on the patient’s health and recovery process</w:t>
      </w:r>
      <w:r w:rsidR="00352A2D" w:rsidRPr="00B22946">
        <w:rPr>
          <w:rFonts w:cs="Times New Roman"/>
          <w:szCs w:val="24"/>
        </w:rPr>
        <w:t xml:space="preserve">(Cornish </w:t>
      </w:r>
      <w:r w:rsidR="00DE1F3E" w:rsidRPr="00B22946">
        <w:rPr>
          <w:rFonts w:cs="Times New Roman"/>
          <w:szCs w:val="24"/>
        </w:rPr>
        <w:t>et al. 2005)</w:t>
      </w:r>
      <w:r w:rsidR="00B12EEA" w:rsidRPr="00B22946">
        <w:rPr>
          <w:rFonts w:cs="Times New Roman"/>
          <w:szCs w:val="24"/>
        </w:rPr>
        <w:t>.</w:t>
      </w:r>
      <w:r w:rsidR="00DE1F3E" w:rsidRPr="00B22946">
        <w:rPr>
          <w:rFonts w:cs="Times New Roman"/>
          <w:szCs w:val="24"/>
        </w:rPr>
        <w:t xml:space="preserve">Inaccuracy and errors in medication history </w:t>
      </w:r>
      <w:r w:rsidR="00C93BB2" w:rsidRPr="00B22946">
        <w:rPr>
          <w:rFonts w:cs="Times New Roman"/>
          <w:szCs w:val="24"/>
        </w:rPr>
        <w:t xml:space="preserve">during hospital admission has a myriad of </w:t>
      </w:r>
      <w:r w:rsidR="00F85593" w:rsidRPr="00B22946">
        <w:rPr>
          <w:rFonts w:cs="Times New Roman"/>
          <w:szCs w:val="24"/>
        </w:rPr>
        <w:t>effects, which</w:t>
      </w:r>
      <w:r w:rsidR="00FA3D0F" w:rsidRPr="00B22946">
        <w:rPr>
          <w:rFonts w:cs="Times New Roman"/>
          <w:szCs w:val="24"/>
        </w:rPr>
        <w:t xml:space="preserve"> include i</w:t>
      </w:r>
      <w:r w:rsidR="00DE1F3E" w:rsidRPr="00B22946">
        <w:rPr>
          <w:rFonts w:cs="Times New Roman"/>
          <w:szCs w:val="24"/>
        </w:rPr>
        <w:t>napprop</w:t>
      </w:r>
      <w:r w:rsidR="00F84400" w:rsidRPr="00B22946">
        <w:rPr>
          <w:rFonts w:cs="Times New Roman"/>
          <w:szCs w:val="24"/>
        </w:rPr>
        <w:t>riate medication reconciliation</w:t>
      </w:r>
      <w:r w:rsidR="00FA3D0F" w:rsidRPr="00B22946">
        <w:rPr>
          <w:rFonts w:cs="Times New Roman"/>
          <w:szCs w:val="24"/>
        </w:rPr>
        <w:t>, f</w:t>
      </w:r>
      <w:r w:rsidR="00DE1F3E" w:rsidRPr="00B22946">
        <w:rPr>
          <w:rFonts w:cs="Times New Roman"/>
          <w:szCs w:val="24"/>
        </w:rPr>
        <w:t xml:space="preserve">ailure </w:t>
      </w:r>
      <w:r w:rsidR="00F84400" w:rsidRPr="00B22946">
        <w:rPr>
          <w:rFonts w:cs="Times New Roman"/>
          <w:szCs w:val="24"/>
        </w:rPr>
        <w:t xml:space="preserve">to detect </w:t>
      </w:r>
      <w:r w:rsidR="00C93BB2" w:rsidRPr="00B22946">
        <w:rPr>
          <w:rFonts w:cs="Times New Roman"/>
          <w:szCs w:val="24"/>
        </w:rPr>
        <w:t xml:space="preserve">existing </w:t>
      </w:r>
      <w:r w:rsidR="00F84400" w:rsidRPr="00B22946">
        <w:rPr>
          <w:rFonts w:cs="Times New Roman"/>
          <w:szCs w:val="24"/>
        </w:rPr>
        <w:t>drug-related problems</w:t>
      </w:r>
      <w:r w:rsidR="00FA3D0F" w:rsidRPr="00B22946">
        <w:rPr>
          <w:rFonts w:cs="Times New Roman"/>
          <w:szCs w:val="24"/>
        </w:rPr>
        <w:t>, m</w:t>
      </w:r>
      <w:r w:rsidR="00F84400" w:rsidRPr="00B22946">
        <w:rPr>
          <w:rFonts w:cs="Times New Roman"/>
          <w:szCs w:val="24"/>
        </w:rPr>
        <w:t>issed diagnoses</w:t>
      </w:r>
      <w:r w:rsidR="00FA3D0F" w:rsidRPr="00B22946">
        <w:rPr>
          <w:rFonts w:cs="Times New Roman"/>
          <w:szCs w:val="24"/>
        </w:rPr>
        <w:t>, e</w:t>
      </w:r>
      <w:r w:rsidR="00DE1F3E" w:rsidRPr="00B22946">
        <w:rPr>
          <w:rFonts w:cs="Times New Roman"/>
          <w:szCs w:val="24"/>
        </w:rPr>
        <w:t>rrors</w:t>
      </w:r>
      <w:r w:rsidR="00BB5B15">
        <w:rPr>
          <w:rFonts w:cs="Times New Roman"/>
          <w:szCs w:val="24"/>
        </w:rPr>
        <w:t xml:space="preserve"> in</w:t>
      </w:r>
      <w:r w:rsidR="00DE1F3E" w:rsidRPr="00B22946">
        <w:rPr>
          <w:rFonts w:cs="Times New Roman"/>
          <w:szCs w:val="24"/>
        </w:rPr>
        <w:t xml:space="preserve"> inpatient admission orders l</w:t>
      </w:r>
      <w:r w:rsidR="00FA3D0F" w:rsidRPr="00B22946">
        <w:rPr>
          <w:rFonts w:cs="Times New Roman"/>
          <w:szCs w:val="24"/>
        </w:rPr>
        <w:t xml:space="preserve">ike duplication of medications and </w:t>
      </w:r>
      <w:r w:rsidR="00D52851" w:rsidRPr="00B22946">
        <w:rPr>
          <w:rFonts w:cs="Times New Roman"/>
          <w:szCs w:val="24"/>
        </w:rPr>
        <w:t>unwanted drug interactions</w:t>
      </w:r>
      <w:r w:rsidR="00FA3D0F" w:rsidRPr="00B22946">
        <w:rPr>
          <w:rFonts w:cs="Times New Roman"/>
          <w:szCs w:val="24"/>
        </w:rPr>
        <w:t>.</w:t>
      </w:r>
    </w:p>
    <w:p w:rsidR="00632C47" w:rsidRPr="00632C47" w:rsidRDefault="00632C47" w:rsidP="00632C47">
      <w:pPr>
        <w:pStyle w:val="Heading1"/>
        <w:spacing w:line="480" w:lineRule="auto"/>
        <w:rPr>
          <w:rFonts w:ascii="Times New Roman" w:hAnsi="Times New Roman" w:cs="Times New Roman"/>
          <w:color w:val="auto"/>
          <w:sz w:val="24"/>
          <w:szCs w:val="24"/>
        </w:rPr>
      </w:pPr>
      <w:r w:rsidRPr="00632C47">
        <w:rPr>
          <w:rFonts w:ascii="Times New Roman" w:hAnsi="Times New Roman" w:cs="Times New Roman"/>
          <w:color w:val="auto"/>
          <w:sz w:val="24"/>
          <w:szCs w:val="24"/>
        </w:rPr>
        <w:t>Prevalence of Inaccurate Patient Medication History</w:t>
      </w:r>
    </w:p>
    <w:p w:rsidR="00DE1F3E" w:rsidRPr="00B22946" w:rsidRDefault="009C2F71" w:rsidP="00B22946">
      <w:pPr>
        <w:spacing w:line="480" w:lineRule="auto"/>
        <w:rPr>
          <w:rFonts w:cs="Times New Roman"/>
          <w:szCs w:val="24"/>
        </w:rPr>
      </w:pPr>
      <w:r w:rsidRPr="00B22946">
        <w:rPr>
          <w:rFonts w:cs="Times New Roman"/>
          <w:szCs w:val="24"/>
        </w:rPr>
        <w:t xml:space="preserve">Inaccurate medication histories have </w:t>
      </w:r>
      <w:r w:rsidR="008D6339" w:rsidRPr="00B22946">
        <w:rPr>
          <w:rFonts w:cs="Times New Roman"/>
          <w:szCs w:val="24"/>
        </w:rPr>
        <w:t>been evidently</w:t>
      </w:r>
      <w:r w:rsidRPr="00B22946">
        <w:rPr>
          <w:rFonts w:cs="Times New Roman"/>
          <w:szCs w:val="24"/>
        </w:rPr>
        <w:t xml:space="preserve"> prevalent in the healthcare sector across the globe and many studies have been conducted to ascertain this prevalence and develop possible remedies to the issue.</w:t>
      </w:r>
      <w:r w:rsidR="00632C47">
        <w:rPr>
          <w:rFonts w:cs="Times New Roman"/>
          <w:szCs w:val="24"/>
        </w:rPr>
        <w:t xml:space="preserve"> </w:t>
      </w:r>
      <w:r w:rsidR="00DE1F3E" w:rsidRPr="00B22946">
        <w:rPr>
          <w:rFonts w:cs="Times New Roman"/>
          <w:szCs w:val="24"/>
        </w:rPr>
        <w:t>One systemic review in 2005 showed that history medication error</w:t>
      </w:r>
      <w:r w:rsidR="002A5D30" w:rsidRPr="00B22946">
        <w:rPr>
          <w:rFonts w:cs="Times New Roman"/>
          <w:szCs w:val="24"/>
        </w:rPr>
        <w:t>s</w:t>
      </w:r>
      <w:r w:rsidR="00DE1F3E" w:rsidRPr="00B22946">
        <w:rPr>
          <w:rFonts w:cs="Times New Roman"/>
          <w:szCs w:val="24"/>
        </w:rPr>
        <w:t xml:space="preserve"> occurred in </w:t>
      </w:r>
      <w:r w:rsidR="005824CB" w:rsidRPr="00B22946">
        <w:rPr>
          <w:rFonts w:cs="Times New Roman"/>
          <w:szCs w:val="24"/>
        </w:rPr>
        <w:t xml:space="preserve">at least 10% </w:t>
      </w:r>
      <w:r w:rsidR="00DE1F3E" w:rsidRPr="00B22946">
        <w:rPr>
          <w:rFonts w:cs="Times New Roman"/>
          <w:szCs w:val="24"/>
        </w:rPr>
        <w:t xml:space="preserve">of </w:t>
      </w:r>
      <w:r w:rsidR="002A5D30" w:rsidRPr="00B22946">
        <w:rPr>
          <w:rFonts w:cs="Times New Roman"/>
          <w:szCs w:val="24"/>
        </w:rPr>
        <w:t xml:space="preserve">the </w:t>
      </w:r>
      <w:r w:rsidR="00DE1F3E" w:rsidRPr="00B22946">
        <w:rPr>
          <w:rFonts w:cs="Times New Roman"/>
          <w:szCs w:val="24"/>
        </w:rPr>
        <w:t xml:space="preserve">prescribed medication to </w:t>
      </w:r>
      <w:r w:rsidR="002A5D30" w:rsidRPr="00B22946">
        <w:rPr>
          <w:rFonts w:cs="Times New Roman"/>
          <w:szCs w:val="24"/>
        </w:rPr>
        <w:t>in</w:t>
      </w:r>
      <w:r w:rsidR="00DE1F3E" w:rsidRPr="00B22946">
        <w:rPr>
          <w:rFonts w:cs="Times New Roman"/>
          <w:szCs w:val="24"/>
        </w:rPr>
        <w:t xml:space="preserve">patients and the percentage </w:t>
      </w:r>
      <w:r w:rsidR="002A5D30" w:rsidRPr="00B22946">
        <w:rPr>
          <w:rFonts w:cs="Times New Roman"/>
          <w:szCs w:val="24"/>
        </w:rPr>
        <w:t xml:space="preserve">tends to </w:t>
      </w:r>
      <w:r w:rsidR="00DE1F3E" w:rsidRPr="00B22946">
        <w:rPr>
          <w:rFonts w:cs="Times New Roman"/>
          <w:szCs w:val="24"/>
        </w:rPr>
        <w:t>increase</w:t>
      </w:r>
      <w:r w:rsidR="00632C47">
        <w:rPr>
          <w:rFonts w:cs="Times New Roman"/>
          <w:szCs w:val="24"/>
        </w:rPr>
        <w:t xml:space="preserve"> </w:t>
      </w:r>
      <w:r w:rsidR="00DE1F3E" w:rsidRPr="00B22946">
        <w:rPr>
          <w:rFonts w:cs="Times New Roman"/>
          <w:szCs w:val="24"/>
        </w:rPr>
        <w:t xml:space="preserve">to </w:t>
      </w:r>
      <w:r w:rsidR="002A5D30" w:rsidRPr="00B22946">
        <w:rPr>
          <w:rFonts w:cs="Times New Roman"/>
          <w:szCs w:val="24"/>
        </w:rPr>
        <w:t>a minimum of 27</w:t>
      </w:r>
      <w:r w:rsidR="005824CB" w:rsidRPr="00B22946">
        <w:rPr>
          <w:rFonts w:cs="Times New Roman"/>
          <w:szCs w:val="24"/>
        </w:rPr>
        <w:t>%</w:t>
      </w:r>
      <w:r w:rsidR="002A5D30" w:rsidRPr="00B22946">
        <w:rPr>
          <w:rFonts w:cs="Times New Roman"/>
          <w:szCs w:val="24"/>
        </w:rPr>
        <w:t xml:space="preserve"> when</w:t>
      </w:r>
      <w:r w:rsidR="00DE1F3E" w:rsidRPr="00B22946">
        <w:rPr>
          <w:rFonts w:cs="Times New Roman"/>
          <w:szCs w:val="24"/>
        </w:rPr>
        <w:t xml:space="preserve"> nonprescription drug</w:t>
      </w:r>
      <w:r w:rsidR="00252D9C" w:rsidRPr="00B22946">
        <w:rPr>
          <w:rFonts w:cs="Times New Roman"/>
          <w:szCs w:val="24"/>
        </w:rPr>
        <w:t xml:space="preserve">s are included </w:t>
      </w:r>
      <w:r w:rsidR="00352A2D" w:rsidRPr="00B22946">
        <w:rPr>
          <w:rFonts w:cs="Times New Roman"/>
          <w:szCs w:val="24"/>
        </w:rPr>
        <w:t>(Tam</w:t>
      </w:r>
      <w:r w:rsidR="00DE1F3E" w:rsidRPr="00B22946">
        <w:rPr>
          <w:rFonts w:cs="Times New Roman"/>
          <w:szCs w:val="24"/>
        </w:rPr>
        <w:t xml:space="preserve"> et al. 2005).</w:t>
      </w:r>
      <w:r w:rsidR="002B5A00" w:rsidRPr="00B22946">
        <w:rPr>
          <w:rFonts w:cs="Times New Roman"/>
          <w:szCs w:val="24"/>
        </w:rPr>
        <w:t xml:space="preserve"> Similarly, </w:t>
      </w:r>
      <w:r w:rsidR="00352A2D" w:rsidRPr="00B22946">
        <w:rPr>
          <w:rFonts w:cs="Times New Roman"/>
          <w:szCs w:val="24"/>
        </w:rPr>
        <w:t xml:space="preserve">Fitzgerald </w:t>
      </w:r>
      <w:r w:rsidR="00DE1F3E" w:rsidRPr="00B22946">
        <w:rPr>
          <w:rFonts w:cs="Times New Roman"/>
          <w:szCs w:val="24"/>
        </w:rPr>
        <w:t>et al.</w:t>
      </w:r>
      <w:r w:rsidR="002B5A00" w:rsidRPr="00B22946">
        <w:rPr>
          <w:rFonts w:cs="Times New Roman"/>
          <w:szCs w:val="24"/>
        </w:rPr>
        <w:t xml:space="preserve"> (</w:t>
      </w:r>
      <w:r w:rsidR="00DE1F3E" w:rsidRPr="00B22946">
        <w:rPr>
          <w:rFonts w:cs="Times New Roman"/>
          <w:szCs w:val="24"/>
        </w:rPr>
        <w:t>2009)</w:t>
      </w:r>
      <w:r w:rsidR="002B5A00" w:rsidRPr="00B22946">
        <w:rPr>
          <w:rFonts w:cs="Times New Roman"/>
          <w:szCs w:val="24"/>
        </w:rPr>
        <w:t xml:space="preserve"> found that </w:t>
      </w:r>
      <w:r w:rsidR="00DE1F3E" w:rsidRPr="00B22946">
        <w:rPr>
          <w:rFonts w:cs="Times New Roman"/>
          <w:szCs w:val="24"/>
        </w:rPr>
        <w:t>67%of patient</w:t>
      </w:r>
      <w:r w:rsidR="002B5A00" w:rsidRPr="00B22946">
        <w:rPr>
          <w:rFonts w:cs="Times New Roman"/>
          <w:szCs w:val="24"/>
        </w:rPr>
        <w:t>s</w:t>
      </w:r>
      <w:r w:rsidR="00BF0335" w:rsidRPr="00B22946">
        <w:rPr>
          <w:rFonts w:cs="Times New Roman"/>
          <w:szCs w:val="24"/>
        </w:rPr>
        <w:t>,</w:t>
      </w:r>
      <w:r w:rsidR="00DE1F3E" w:rsidRPr="00B22946">
        <w:rPr>
          <w:rFonts w:cs="Times New Roman"/>
          <w:szCs w:val="24"/>
        </w:rPr>
        <w:t xml:space="preserve"> admit</w:t>
      </w:r>
      <w:r w:rsidR="00BF0335" w:rsidRPr="00B22946">
        <w:rPr>
          <w:rFonts w:cs="Times New Roman"/>
          <w:szCs w:val="24"/>
        </w:rPr>
        <w:t>ted to hospital general wa</w:t>
      </w:r>
      <w:r w:rsidR="00DE1F3E" w:rsidRPr="00B22946">
        <w:rPr>
          <w:rFonts w:cs="Times New Roman"/>
          <w:szCs w:val="24"/>
        </w:rPr>
        <w:t>rds</w:t>
      </w:r>
      <w:r w:rsidR="00BF0335" w:rsidRPr="00B22946">
        <w:rPr>
          <w:rFonts w:cs="Times New Roman"/>
          <w:szCs w:val="24"/>
        </w:rPr>
        <w:t>,</w:t>
      </w:r>
      <w:r w:rsidR="00DE1F3E" w:rsidRPr="00B22946">
        <w:rPr>
          <w:rFonts w:cs="Times New Roman"/>
          <w:szCs w:val="24"/>
        </w:rPr>
        <w:t xml:space="preserve"> have at least one medication error. </w:t>
      </w:r>
    </w:p>
    <w:p w:rsidR="00DE1F3E" w:rsidRPr="00B22946" w:rsidRDefault="00797622" w:rsidP="00B22946">
      <w:pPr>
        <w:spacing w:line="480" w:lineRule="auto"/>
        <w:rPr>
          <w:rFonts w:cs="Times New Roman"/>
          <w:szCs w:val="24"/>
        </w:rPr>
      </w:pPr>
      <w:r w:rsidRPr="00B22946">
        <w:rPr>
          <w:rFonts w:cs="Times New Roman"/>
          <w:szCs w:val="24"/>
        </w:rPr>
        <w:t xml:space="preserve">Another study, </w:t>
      </w:r>
      <w:r w:rsidR="00DE1F3E" w:rsidRPr="00B22946">
        <w:rPr>
          <w:rFonts w:cs="Times New Roman"/>
          <w:szCs w:val="24"/>
        </w:rPr>
        <w:t>at Antrim hospital</w:t>
      </w:r>
      <w:r w:rsidRPr="00B22946">
        <w:rPr>
          <w:rFonts w:cs="Times New Roman"/>
          <w:szCs w:val="24"/>
        </w:rPr>
        <w:t xml:space="preserve"> in Northern Ireland</w:t>
      </w:r>
      <w:r w:rsidR="00DE1F3E" w:rsidRPr="00B22946">
        <w:rPr>
          <w:rFonts w:cs="Times New Roman"/>
          <w:szCs w:val="24"/>
        </w:rPr>
        <w:t xml:space="preserve">, found that from </w:t>
      </w:r>
      <w:r w:rsidRPr="00B22946">
        <w:rPr>
          <w:rFonts w:cs="Times New Roman"/>
          <w:szCs w:val="24"/>
        </w:rPr>
        <w:t>109 admitted patients in the facility</w:t>
      </w:r>
      <w:r w:rsidR="00DE1F3E" w:rsidRPr="00B22946">
        <w:rPr>
          <w:rFonts w:cs="Times New Roman"/>
          <w:szCs w:val="24"/>
        </w:rPr>
        <w:t>, 60.5% ha</w:t>
      </w:r>
      <w:r w:rsidR="00305C80" w:rsidRPr="00B22946">
        <w:rPr>
          <w:rFonts w:cs="Times New Roman"/>
          <w:szCs w:val="24"/>
        </w:rPr>
        <w:t>d</w:t>
      </w:r>
      <w:r w:rsidR="00DE1F3E" w:rsidRPr="00B22946">
        <w:rPr>
          <w:rFonts w:cs="Times New Roman"/>
          <w:szCs w:val="24"/>
        </w:rPr>
        <w:t xml:space="preserve"> medication history discrepanc</w:t>
      </w:r>
      <w:r w:rsidRPr="00B22946">
        <w:rPr>
          <w:rFonts w:cs="Times New Roman"/>
          <w:szCs w:val="24"/>
        </w:rPr>
        <w:t>ies</w:t>
      </w:r>
      <w:r w:rsidR="00632C47">
        <w:rPr>
          <w:rFonts w:cs="Times New Roman"/>
          <w:szCs w:val="24"/>
        </w:rPr>
        <w:t xml:space="preserve"> </w:t>
      </w:r>
      <w:r w:rsidR="00DE1F3E" w:rsidRPr="00B22946">
        <w:rPr>
          <w:rFonts w:cs="Times New Roman"/>
          <w:szCs w:val="24"/>
        </w:rPr>
        <w:t>during their admission after</w:t>
      </w:r>
      <w:r w:rsidR="00F7184A" w:rsidRPr="00B22946">
        <w:rPr>
          <w:rFonts w:cs="Times New Roman"/>
          <w:szCs w:val="24"/>
        </w:rPr>
        <w:t xml:space="preserve"> being attended to by </w:t>
      </w:r>
      <w:r w:rsidR="00DE1F3E" w:rsidRPr="00B22946">
        <w:rPr>
          <w:rFonts w:cs="Times New Roman"/>
          <w:szCs w:val="24"/>
        </w:rPr>
        <w:t xml:space="preserve">both </w:t>
      </w:r>
      <w:r w:rsidR="00245756" w:rsidRPr="00B22946">
        <w:rPr>
          <w:rFonts w:cs="Times New Roman"/>
          <w:szCs w:val="24"/>
        </w:rPr>
        <w:t>the G.P. and community pharmacist</w:t>
      </w:r>
      <w:r w:rsidR="00DE1F3E" w:rsidRPr="00B22946">
        <w:rPr>
          <w:rFonts w:cs="Times New Roman"/>
          <w:szCs w:val="24"/>
        </w:rPr>
        <w:t xml:space="preserve"> (Hogg et al. 2015)</w:t>
      </w:r>
      <w:r w:rsidR="00987504" w:rsidRPr="00B22946">
        <w:rPr>
          <w:rFonts w:cs="Times New Roman"/>
          <w:szCs w:val="24"/>
        </w:rPr>
        <w:t xml:space="preserve">. In estimation of the discrepancies during key transition points after comparing the medications that patients were taking before admission, </w:t>
      </w:r>
      <w:r w:rsidR="00352A2D" w:rsidRPr="00B22946">
        <w:rPr>
          <w:rFonts w:cs="Times New Roman"/>
          <w:szCs w:val="24"/>
        </w:rPr>
        <w:t xml:space="preserve">Gleason </w:t>
      </w:r>
      <w:r w:rsidR="00987504" w:rsidRPr="00B22946">
        <w:rPr>
          <w:rFonts w:cs="Times New Roman"/>
          <w:szCs w:val="24"/>
        </w:rPr>
        <w:t>et al. (2012) reported the discr</w:t>
      </w:r>
      <w:r w:rsidR="005824CB" w:rsidRPr="00B22946">
        <w:rPr>
          <w:rFonts w:cs="Times New Roman"/>
          <w:szCs w:val="24"/>
        </w:rPr>
        <w:t xml:space="preserve">epancies to be not less than 30%. In 25% </w:t>
      </w:r>
      <w:r w:rsidR="00DE1F3E" w:rsidRPr="00B22946">
        <w:rPr>
          <w:rFonts w:cs="Times New Roman"/>
          <w:szCs w:val="24"/>
        </w:rPr>
        <w:t>of patient</w:t>
      </w:r>
      <w:r w:rsidR="00D61882" w:rsidRPr="00B22946">
        <w:rPr>
          <w:rFonts w:cs="Times New Roman"/>
          <w:szCs w:val="24"/>
        </w:rPr>
        <w:t xml:space="preserve">s with </w:t>
      </w:r>
      <w:r w:rsidR="00DE1F3E" w:rsidRPr="00B22946">
        <w:rPr>
          <w:rFonts w:cs="Times New Roman"/>
          <w:szCs w:val="24"/>
        </w:rPr>
        <w:t>active medication</w:t>
      </w:r>
      <w:r w:rsidR="008B5C02" w:rsidRPr="00B22946">
        <w:rPr>
          <w:rFonts w:cs="Times New Roman"/>
          <w:szCs w:val="24"/>
        </w:rPr>
        <w:t xml:space="preserve"> before admission</w:t>
      </w:r>
      <w:r w:rsidR="00D61882" w:rsidRPr="00B22946">
        <w:rPr>
          <w:rFonts w:cs="Times New Roman"/>
          <w:szCs w:val="24"/>
        </w:rPr>
        <w:t>, at least one medication is not reported in the medical history</w:t>
      </w:r>
      <w:r w:rsidR="00DE1F3E" w:rsidRPr="00B22946">
        <w:rPr>
          <w:rFonts w:cs="Times New Roman"/>
          <w:szCs w:val="24"/>
        </w:rPr>
        <w:t xml:space="preserve"> (</w:t>
      </w:r>
      <w:r w:rsidR="00352A2D" w:rsidRPr="00B22946">
        <w:rPr>
          <w:rFonts w:cs="Times New Roman"/>
          <w:szCs w:val="24"/>
        </w:rPr>
        <w:t>Lau</w:t>
      </w:r>
      <w:r w:rsidR="00DE1F3E" w:rsidRPr="00B22946">
        <w:rPr>
          <w:rFonts w:cs="Times New Roman"/>
          <w:szCs w:val="24"/>
        </w:rPr>
        <w:t xml:space="preserve"> et al. 2000</w:t>
      </w:r>
      <w:r w:rsidR="00C4337F" w:rsidRPr="00B22946">
        <w:rPr>
          <w:rFonts w:cs="Times New Roman"/>
          <w:szCs w:val="24"/>
        </w:rPr>
        <w:t xml:space="preserve">, </w:t>
      </w:r>
      <w:r w:rsidR="00352A2D" w:rsidRPr="00B22946">
        <w:rPr>
          <w:rFonts w:cs="Times New Roman"/>
          <w:szCs w:val="24"/>
        </w:rPr>
        <w:t>Meguerditchia</w:t>
      </w:r>
      <w:r w:rsidR="00DE1F3E" w:rsidRPr="00B22946">
        <w:rPr>
          <w:rFonts w:cs="Times New Roman"/>
          <w:szCs w:val="24"/>
        </w:rPr>
        <w:t xml:space="preserve"> et al., 2013).</w:t>
      </w:r>
      <w:r w:rsidR="00FD16D3" w:rsidRPr="00B22946">
        <w:rPr>
          <w:rFonts w:cs="Times New Roman"/>
          <w:szCs w:val="24"/>
        </w:rPr>
        <w:t xml:space="preserve">In a </w:t>
      </w:r>
      <w:r w:rsidR="00DE1F3E" w:rsidRPr="00B22946">
        <w:rPr>
          <w:rFonts w:cs="Times New Roman"/>
          <w:szCs w:val="24"/>
        </w:rPr>
        <w:t xml:space="preserve">study </w:t>
      </w:r>
      <w:r w:rsidR="00FD16D3" w:rsidRPr="00B22946">
        <w:rPr>
          <w:rFonts w:cs="Times New Roman"/>
          <w:szCs w:val="24"/>
        </w:rPr>
        <w:t>done</w:t>
      </w:r>
      <w:r w:rsidR="00DE1F3E" w:rsidRPr="00B22946">
        <w:rPr>
          <w:rFonts w:cs="Times New Roman"/>
          <w:szCs w:val="24"/>
        </w:rPr>
        <w:t xml:space="preserve"> in five Australian hospitals across three states, 66</w:t>
      </w:r>
      <w:r w:rsidR="005824CB" w:rsidRPr="00B22946">
        <w:rPr>
          <w:rFonts w:cs="Times New Roman"/>
          <w:szCs w:val="24"/>
        </w:rPr>
        <w:t>%</w:t>
      </w:r>
      <w:r w:rsidR="00DE1F3E" w:rsidRPr="00B22946">
        <w:rPr>
          <w:rFonts w:cs="Times New Roman"/>
          <w:szCs w:val="24"/>
        </w:rPr>
        <w:t xml:space="preserve"> of the patients ha</w:t>
      </w:r>
      <w:r w:rsidR="00FD16D3" w:rsidRPr="00B22946">
        <w:rPr>
          <w:rFonts w:cs="Times New Roman"/>
          <w:szCs w:val="24"/>
        </w:rPr>
        <w:t>d</w:t>
      </w:r>
      <w:r w:rsidR="00DE1F3E" w:rsidRPr="00B22946">
        <w:rPr>
          <w:rFonts w:cs="Times New Roman"/>
          <w:szCs w:val="24"/>
        </w:rPr>
        <w:t xml:space="preserve"> mor</w:t>
      </w:r>
      <w:r w:rsidR="00FD16D3" w:rsidRPr="00B22946">
        <w:rPr>
          <w:rFonts w:cs="Times New Roman"/>
          <w:szCs w:val="24"/>
        </w:rPr>
        <w:t>e than one medication discrepancies</w:t>
      </w:r>
      <w:r w:rsidR="00DE1F3E" w:rsidRPr="00B22946">
        <w:rPr>
          <w:rFonts w:cs="Times New Roman"/>
          <w:szCs w:val="24"/>
        </w:rPr>
        <w:t xml:space="preserve"> between medication reconciliation after admission </w:t>
      </w:r>
      <w:r w:rsidR="00FD16D3" w:rsidRPr="00B22946">
        <w:rPr>
          <w:rFonts w:cs="Times New Roman"/>
          <w:szCs w:val="24"/>
        </w:rPr>
        <w:t xml:space="preserve">and the first medication chart </w:t>
      </w:r>
      <w:r w:rsidR="00106596" w:rsidRPr="00B22946">
        <w:rPr>
          <w:rFonts w:cs="Times New Roman"/>
          <w:szCs w:val="24"/>
        </w:rPr>
        <w:t>(</w:t>
      </w:r>
      <w:r w:rsidR="00DE1F3E" w:rsidRPr="00B22946">
        <w:rPr>
          <w:rFonts w:cs="Times New Roman"/>
          <w:szCs w:val="24"/>
        </w:rPr>
        <w:t>Rocnfeld et al. 2013).</w:t>
      </w:r>
      <w:r w:rsidR="00477243" w:rsidRPr="00B22946">
        <w:rPr>
          <w:rFonts w:cs="Times New Roman"/>
          <w:szCs w:val="24"/>
        </w:rPr>
        <w:t xml:space="preserve"> The variations in the results of the studies emanates from varying circumstances in the collection of medical information from one health care facilit</w:t>
      </w:r>
      <w:r w:rsidR="00E311AC" w:rsidRPr="00B22946">
        <w:rPr>
          <w:rFonts w:cs="Times New Roman"/>
          <w:szCs w:val="24"/>
        </w:rPr>
        <w:t>y to another. The health facilities used in the studies had</w:t>
      </w:r>
      <w:r w:rsidR="00477243" w:rsidRPr="00B22946">
        <w:rPr>
          <w:rFonts w:cs="Times New Roman"/>
          <w:szCs w:val="24"/>
        </w:rPr>
        <w:t xml:space="preserve"> varying workloads, workflow, patient population, and patient status</w:t>
      </w:r>
      <w:r w:rsidR="007C122E" w:rsidRPr="00B22946">
        <w:rPr>
          <w:rFonts w:cs="Times New Roman"/>
          <w:szCs w:val="24"/>
        </w:rPr>
        <w:t>. The various patients’ status included</w:t>
      </w:r>
      <w:r w:rsidR="00477243" w:rsidRPr="00B22946">
        <w:rPr>
          <w:rFonts w:cs="Times New Roman"/>
          <w:szCs w:val="24"/>
        </w:rPr>
        <w:t xml:space="preserve"> inpatient, outpatient, emergency department visitor, or scheduled admission.</w:t>
      </w:r>
    </w:p>
    <w:p w:rsidR="00632C47" w:rsidRPr="00632C47" w:rsidRDefault="00632C47" w:rsidP="00632C47">
      <w:pPr>
        <w:pStyle w:val="Heading1"/>
        <w:spacing w:line="480" w:lineRule="auto"/>
        <w:rPr>
          <w:rFonts w:ascii="Times New Roman" w:hAnsi="Times New Roman" w:cs="Times New Roman"/>
          <w:color w:val="auto"/>
          <w:sz w:val="24"/>
          <w:szCs w:val="24"/>
        </w:rPr>
      </w:pPr>
      <w:r w:rsidRPr="00632C47">
        <w:rPr>
          <w:rFonts w:ascii="Times New Roman" w:hAnsi="Times New Roman" w:cs="Times New Roman"/>
          <w:color w:val="auto"/>
          <w:sz w:val="24"/>
          <w:szCs w:val="24"/>
        </w:rPr>
        <w:t>Impact of Inaccurate Patient Medication History</w:t>
      </w:r>
    </w:p>
    <w:p w:rsidR="00DE1F3E" w:rsidRPr="00B22946" w:rsidRDefault="00C455C2" w:rsidP="00B22946">
      <w:pPr>
        <w:spacing w:line="480" w:lineRule="auto"/>
        <w:rPr>
          <w:rFonts w:cs="Times New Roman"/>
          <w:szCs w:val="24"/>
        </w:rPr>
      </w:pPr>
      <w:r w:rsidRPr="00B22946">
        <w:rPr>
          <w:rFonts w:cs="Times New Roman"/>
          <w:szCs w:val="24"/>
        </w:rPr>
        <w:t xml:space="preserve"> Errors in the entry of medical history of a patient have devastating effects in causing medication mistakes, preventable ADRS, and subsequent fatal effects to the patient.</w:t>
      </w:r>
      <w:r w:rsidR="00632C47">
        <w:rPr>
          <w:rFonts w:cs="Times New Roman"/>
          <w:szCs w:val="24"/>
        </w:rPr>
        <w:t xml:space="preserve"> </w:t>
      </w:r>
      <w:r w:rsidR="00574743" w:rsidRPr="00B22946">
        <w:rPr>
          <w:rFonts w:cs="Times New Roman"/>
          <w:szCs w:val="24"/>
        </w:rPr>
        <w:t xml:space="preserve">A </w:t>
      </w:r>
      <w:r w:rsidR="00D22BD0" w:rsidRPr="00B22946">
        <w:rPr>
          <w:rFonts w:cs="Times New Roman"/>
          <w:szCs w:val="24"/>
        </w:rPr>
        <w:t>systematic review of medical history found that 39 percent of them had a significant probability of c</w:t>
      </w:r>
      <w:r w:rsidR="00574743" w:rsidRPr="00B22946">
        <w:rPr>
          <w:rFonts w:cs="Times New Roman"/>
          <w:szCs w:val="24"/>
        </w:rPr>
        <w:t xml:space="preserve">ausing moderate to severe harm </w:t>
      </w:r>
      <w:r w:rsidR="00D22BD0" w:rsidRPr="00B22946">
        <w:rPr>
          <w:rFonts w:cs="Times New Roman"/>
          <w:szCs w:val="24"/>
        </w:rPr>
        <w:t xml:space="preserve">as </w:t>
      </w:r>
      <w:r w:rsidR="00574743" w:rsidRPr="00B22946">
        <w:rPr>
          <w:rFonts w:cs="Times New Roman"/>
          <w:szCs w:val="24"/>
        </w:rPr>
        <w:t xml:space="preserve">well as </w:t>
      </w:r>
      <w:r w:rsidR="00D22BD0" w:rsidRPr="00B22946">
        <w:rPr>
          <w:rFonts w:cs="Times New Roman"/>
          <w:szCs w:val="24"/>
        </w:rPr>
        <w:t>deteriorating health status of patients (</w:t>
      </w:r>
      <w:r w:rsidR="00352A2D" w:rsidRPr="00B22946">
        <w:rPr>
          <w:rFonts w:cs="Times New Roman"/>
          <w:szCs w:val="24"/>
        </w:rPr>
        <w:t>Tam</w:t>
      </w:r>
      <w:r w:rsidR="00D22BD0" w:rsidRPr="00B22946">
        <w:rPr>
          <w:rFonts w:cs="Times New Roman"/>
          <w:szCs w:val="24"/>
        </w:rPr>
        <w:t xml:space="preserve"> et al. 2005).</w:t>
      </w:r>
      <w:r w:rsidR="00E95D3F">
        <w:rPr>
          <w:rFonts w:cs="Times New Roman"/>
          <w:szCs w:val="24"/>
        </w:rPr>
        <w:t xml:space="preserve"> Studies </w:t>
      </w:r>
      <w:r w:rsidR="00AC6C6F" w:rsidRPr="00B22946">
        <w:rPr>
          <w:rFonts w:cs="Times New Roman"/>
          <w:szCs w:val="24"/>
        </w:rPr>
        <w:t>have shown that this probability has increased to include 59 percent of the medical history errors during patient admission</w:t>
      </w:r>
      <w:r w:rsidR="00352A2D" w:rsidRPr="00B22946">
        <w:rPr>
          <w:rFonts w:cs="Times New Roman"/>
          <w:szCs w:val="24"/>
        </w:rPr>
        <w:t xml:space="preserve"> (Fitzgerald </w:t>
      </w:r>
      <w:r w:rsidR="00DE1F3E" w:rsidRPr="00B22946">
        <w:rPr>
          <w:rFonts w:cs="Times New Roman"/>
          <w:szCs w:val="24"/>
        </w:rPr>
        <w:t>et</w:t>
      </w:r>
      <w:r w:rsidR="00632C47">
        <w:rPr>
          <w:rFonts w:cs="Times New Roman"/>
          <w:szCs w:val="24"/>
        </w:rPr>
        <w:t xml:space="preserve"> </w:t>
      </w:r>
      <w:r w:rsidR="00B95582" w:rsidRPr="00B22946">
        <w:rPr>
          <w:rFonts w:cs="Times New Roman"/>
          <w:szCs w:val="24"/>
        </w:rPr>
        <w:t>al.</w:t>
      </w:r>
      <w:r w:rsidR="00E95D3F">
        <w:rPr>
          <w:rFonts w:cs="Times New Roman"/>
          <w:szCs w:val="24"/>
        </w:rPr>
        <w:t>,</w:t>
      </w:r>
      <w:r w:rsidR="00352A2D" w:rsidRPr="00B22946">
        <w:rPr>
          <w:rFonts w:cs="Times New Roman"/>
          <w:szCs w:val="24"/>
        </w:rPr>
        <w:t xml:space="preserve"> 2009, Abu Yassin </w:t>
      </w:r>
      <w:r w:rsidR="00DE1F3E" w:rsidRPr="00B22946">
        <w:rPr>
          <w:rFonts w:cs="Times New Roman"/>
          <w:szCs w:val="24"/>
        </w:rPr>
        <w:t>et al. 2011).</w:t>
      </w:r>
    </w:p>
    <w:p w:rsidR="005B29AB" w:rsidRPr="00B22946" w:rsidRDefault="00596FBE" w:rsidP="00B22946">
      <w:pPr>
        <w:spacing w:line="480" w:lineRule="auto"/>
        <w:rPr>
          <w:rFonts w:cs="Times New Roman"/>
          <w:szCs w:val="24"/>
        </w:rPr>
      </w:pPr>
      <w:r w:rsidRPr="00B22946">
        <w:rPr>
          <w:rFonts w:cs="Times New Roman"/>
          <w:szCs w:val="24"/>
        </w:rPr>
        <w:t>One of the errors in medical history is an inaccurate medication list.</w:t>
      </w:r>
      <w:r w:rsidR="002107E3" w:rsidRPr="00B22946">
        <w:rPr>
          <w:rFonts w:cs="Times New Roman"/>
          <w:szCs w:val="24"/>
        </w:rPr>
        <w:t xml:space="preserve"> For instance, anticoagulant drugs are vital and potentially life-saving drugs that help in the prevention of heart attacks and strokes; certain drug combinations can overshadow or inactivate the action of these drugs. An omission of these drugs in the medical history of </w:t>
      </w:r>
      <w:r w:rsidR="00696743" w:rsidRPr="00B22946">
        <w:rPr>
          <w:rFonts w:cs="Times New Roman"/>
          <w:szCs w:val="24"/>
        </w:rPr>
        <w:t>the patient</w:t>
      </w:r>
      <w:r w:rsidR="002107E3" w:rsidRPr="00B22946">
        <w:rPr>
          <w:rFonts w:cs="Times New Roman"/>
          <w:szCs w:val="24"/>
        </w:rPr>
        <w:t xml:space="preserve"> means that the health provider will be unaware of their</w:t>
      </w:r>
      <w:r w:rsidR="00C75C5D">
        <w:rPr>
          <w:rFonts w:cs="Times New Roman"/>
          <w:szCs w:val="24"/>
        </w:rPr>
        <w:t xml:space="preserve"> previous medical conditions.</w:t>
      </w:r>
      <w:r w:rsidR="00E8759E" w:rsidRPr="00B22946">
        <w:rPr>
          <w:rFonts w:cs="Times New Roman"/>
          <w:szCs w:val="24"/>
        </w:rPr>
        <w:t xml:space="preserve"> The caregiver may therefore prescribe other seemingly unrelated drugs, such as antibiotics for a minor infection, which would interact with the anticoagulant drugs and causing fatal hemorrhaging</w:t>
      </w:r>
      <w:r w:rsidR="00D43374" w:rsidRPr="00B22946">
        <w:rPr>
          <w:rFonts w:cs="Times New Roman"/>
          <w:szCs w:val="24"/>
        </w:rPr>
        <w:t xml:space="preserve"> (Kelly 2016)</w:t>
      </w:r>
      <w:r w:rsidR="00E8759E" w:rsidRPr="00B22946">
        <w:rPr>
          <w:rFonts w:cs="Times New Roman"/>
          <w:szCs w:val="24"/>
        </w:rPr>
        <w:t>.</w:t>
      </w:r>
    </w:p>
    <w:p w:rsidR="005824CB" w:rsidRPr="00B22946" w:rsidRDefault="00E87B1D" w:rsidP="00B22946">
      <w:pPr>
        <w:spacing w:line="480" w:lineRule="auto"/>
        <w:rPr>
          <w:rStyle w:val="value"/>
          <w:rFonts w:cs="Times New Roman"/>
          <w:szCs w:val="24"/>
        </w:rPr>
      </w:pPr>
      <w:r w:rsidRPr="00B22946">
        <w:rPr>
          <w:rStyle w:val="value"/>
          <w:rFonts w:cs="Times New Roman"/>
          <w:szCs w:val="24"/>
        </w:rPr>
        <w:t>When a caregiver probes a patient’s signs and symptoms during the diagnosis step but does not have access to their complete medical history or the available one is erroneous, there is a higher probability of misdiagnosis</w:t>
      </w:r>
      <w:r w:rsidR="004D47D3" w:rsidRPr="00B22946">
        <w:rPr>
          <w:rStyle w:val="value"/>
          <w:rFonts w:cs="Times New Roman"/>
          <w:szCs w:val="24"/>
        </w:rPr>
        <w:t xml:space="preserve"> and subsequent mistreatment, leading to life-threatening medical complications</w:t>
      </w:r>
      <w:r w:rsidR="001C670B" w:rsidRPr="00B22946">
        <w:rPr>
          <w:rStyle w:val="value"/>
          <w:rFonts w:cs="Times New Roman"/>
          <w:szCs w:val="24"/>
        </w:rPr>
        <w:t>. For example</w:t>
      </w:r>
      <w:r w:rsidR="009C7102" w:rsidRPr="00B22946">
        <w:rPr>
          <w:rStyle w:val="value"/>
          <w:rFonts w:cs="Times New Roman"/>
          <w:szCs w:val="24"/>
        </w:rPr>
        <w:t>, in</w:t>
      </w:r>
      <w:r w:rsidR="001C670B" w:rsidRPr="00B22946">
        <w:rPr>
          <w:rStyle w:val="value"/>
          <w:rFonts w:cs="Times New Roman"/>
          <w:szCs w:val="24"/>
        </w:rPr>
        <w:t xml:space="preserve"> the case of a patient with a history of stomach ulcers but this record is absent in his/her medical history, taking ibuprofen or aspirin could cause a massive and fatal gastrointestinal bleeding.</w:t>
      </w:r>
      <w:r w:rsidR="00632C47">
        <w:rPr>
          <w:rStyle w:val="value"/>
          <w:rFonts w:cs="Times New Roman"/>
          <w:szCs w:val="24"/>
        </w:rPr>
        <w:t xml:space="preserve"> </w:t>
      </w:r>
      <w:r w:rsidR="009C7102" w:rsidRPr="00B22946">
        <w:rPr>
          <w:rStyle w:val="value"/>
          <w:rFonts w:cs="Times New Roman"/>
          <w:szCs w:val="24"/>
        </w:rPr>
        <w:t xml:space="preserve">Similarly, patient with a history of blood clots in the legs </w:t>
      </w:r>
      <w:r w:rsidR="00D16630" w:rsidRPr="00B22946">
        <w:rPr>
          <w:rStyle w:val="value"/>
          <w:rFonts w:cs="Times New Roman"/>
          <w:szCs w:val="24"/>
        </w:rPr>
        <w:t>is prohibited from taking hormonal therapy, as this increases the risk of the blood clots developing.</w:t>
      </w:r>
      <w:r w:rsidR="00DA3D67" w:rsidRPr="00B22946">
        <w:rPr>
          <w:rStyle w:val="value"/>
          <w:rFonts w:cs="Times New Roman"/>
          <w:szCs w:val="24"/>
        </w:rPr>
        <w:t xml:space="preserve"> Omission of this history would put the patient in a </w:t>
      </w:r>
      <w:r w:rsidR="00CE0BEA" w:rsidRPr="00B22946">
        <w:rPr>
          <w:rStyle w:val="value"/>
          <w:rFonts w:cs="Times New Roman"/>
          <w:szCs w:val="24"/>
        </w:rPr>
        <w:t>life-threatening</w:t>
      </w:r>
      <w:r w:rsidR="00DA3D67" w:rsidRPr="00B22946">
        <w:rPr>
          <w:rStyle w:val="value"/>
          <w:rFonts w:cs="Times New Roman"/>
          <w:szCs w:val="24"/>
        </w:rPr>
        <w:t xml:space="preserve"> situation; more serious clots</w:t>
      </w:r>
      <w:r w:rsidR="00CE0BEA" w:rsidRPr="00B22946">
        <w:rPr>
          <w:rStyle w:val="value"/>
          <w:rFonts w:cs="Times New Roman"/>
          <w:szCs w:val="24"/>
        </w:rPr>
        <w:t>,</w:t>
      </w:r>
      <w:r w:rsidR="00DA3D67" w:rsidRPr="00B22946">
        <w:rPr>
          <w:rStyle w:val="value"/>
          <w:rFonts w:cs="Times New Roman"/>
          <w:szCs w:val="24"/>
        </w:rPr>
        <w:t xml:space="preserve"> such as pulmonary embolism (blood clot in the lungs)</w:t>
      </w:r>
      <w:r w:rsidR="00CE0BEA" w:rsidRPr="00B22946">
        <w:rPr>
          <w:rStyle w:val="value"/>
          <w:rFonts w:cs="Times New Roman"/>
          <w:szCs w:val="24"/>
        </w:rPr>
        <w:t>,</w:t>
      </w:r>
      <w:r w:rsidR="00DA3D67" w:rsidRPr="00B22946">
        <w:rPr>
          <w:rStyle w:val="value"/>
          <w:rFonts w:cs="Times New Roman"/>
          <w:szCs w:val="24"/>
        </w:rPr>
        <w:t xml:space="preserve"> could occur.</w:t>
      </w:r>
    </w:p>
    <w:p w:rsidR="00AC2A52" w:rsidRPr="00B22946" w:rsidRDefault="00C35723" w:rsidP="00B22946">
      <w:pPr>
        <w:spacing w:line="480" w:lineRule="auto"/>
        <w:rPr>
          <w:rStyle w:val="value"/>
          <w:rFonts w:cs="Times New Roman"/>
          <w:szCs w:val="24"/>
        </w:rPr>
      </w:pPr>
      <w:r w:rsidRPr="00B22946">
        <w:rPr>
          <w:rStyle w:val="value"/>
          <w:rFonts w:cs="Times New Roman"/>
          <w:szCs w:val="24"/>
        </w:rPr>
        <w:t xml:space="preserve">The </w:t>
      </w:r>
      <w:r w:rsidR="005B1F50" w:rsidRPr="00B22946">
        <w:rPr>
          <w:rStyle w:val="value"/>
          <w:rFonts w:cs="Times New Roman"/>
          <w:szCs w:val="24"/>
        </w:rPr>
        <w:t>effect of errors in medical history is not</w:t>
      </w:r>
      <w:r w:rsidRPr="00B22946">
        <w:rPr>
          <w:rStyle w:val="value"/>
          <w:rFonts w:cs="Times New Roman"/>
          <w:szCs w:val="24"/>
        </w:rPr>
        <w:t xml:space="preserve"> only on the health of the patient, but also has financial implications.</w:t>
      </w:r>
      <w:r w:rsidR="00632C47">
        <w:rPr>
          <w:rStyle w:val="value"/>
          <w:rFonts w:cs="Times New Roman"/>
          <w:szCs w:val="24"/>
        </w:rPr>
        <w:t xml:space="preserve"> </w:t>
      </w:r>
      <w:r w:rsidR="007453D1" w:rsidRPr="00B22946">
        <w:rPr>
          <w:rFonts w:cs="Times New Roman"/>
          <w:szCs w:val="24"/>
        </w:rPr>
        <w:t xml:space="preserve">One study showed that medication errors cause harm to at least 1.5 million patient in the U.S. yearly, resulting in extra health care coast by 3.5 billion dollars for treatment of medication error related problems. </w:t>
      </w:r>
      <w:r w:rsidR="007F6206" w:rsidRPr="00B22946">
        <w:rPr>
          <w:rStyle w:val="value"/>
          <w:rFonts w:cs="Times New Roman"/>
          <w:szCs w:val="24"/>
        </w:rPr>
        <w:t xml:space="preserve">A provider who </w:t>
      </w:r>
      <w:r w:rsidR="004B233F" w:rsidRPr="00B22946">
        <w:rPr>
          <w:rStyle w:val="value"/>
          <w:rFonts w:cs="Times New Roman"/>
          <w:szCs w:val="24"/>
        </w:rPr>
        <w:t>has not</w:t>
      </w:r>
      <w:r w:rsidR="007F6206" w:rsidRPr="00B22946">
        <w:rPr>
          <w:rStyle w:val="value"/>
          <w:rFonts w:cs="Times New Roman"/>
          <w:szCs w:val="24"/>
        </w:rPr>
        <w:t xml:space="preserve"> had a particular test in the </w:t>
      </w:r>
      <w:r w:rsidR="004B233F" w:rsidRPr="00B22946">
        <w:rPr>
          <w:rStyle w:val="value"/>
          <w:rFonts w:cs="Times New Roman"/>
          <w:szCs w:val="24"/>
        </w:rPr>
        <w:t>past</w:t>
      </w:r>
      <w:r w:rsidR="007F6206" w:rsidRPr="00B22946">
        <w:rPr>
          <w:rStyle w:val="value"/>
          <w:rFonts w:cs="Times New Roman"/>
          <w:szCs w:val="24"/>
        </w:rPr>
        <w:t xml:space="preserve"> may order the repeat of the same test exposing the patient to unnecessary costs for both the patient and the healthcare system</w:t>
      </w:r>
      <w:r w:rsidR="00300034" w:rsidRPr="00B22946">
        <w:rPr>
          <w:rStyle w:val="value"/>
          <w:rFonts w:cs="Times New Roman"/>
          <w:szCs w:val="24"/>
        </w:rPr>
        <w:t xml:space="preserve"> (Kelly </w:t>
      </w:r>
      <w:r w:rsidR="0042468F" w:rsidRPr="00B22946">
        <w:rPr>
          <w:rStyle w:val="value"/>
          <w:rFonts w:cs="Times New Roman"/>
          <w:szCs w:val="24"/>
        </w:rPr>
        <w:t>2016)</w:t>
      </w:r>
      <w:r w:rsidR="00A94E36" w:rsidRPr="00B22946">
        <w:rPr>
          <w:rStyle w:val="value"/>
          <w:rFonts w:cs="Times New Roman"/>
          <w:szCs w:val="24"/>
        </w:rPr>
        <w:t>.</w:t>
      </w:r>
    </w:p>
    <w:p w:rsidR="002D45F5" w:rsidRPr="00B22946" w:rsidRDefault="002D45F5" w:rsidP="00B22946">
      <w:pPr>
        <w:pStyle w:val="Heading2"/>
        <w:spacing w:line="480" w:lineRule="auto"/>
        <w:rPr>
          <w:rStyle w:val="value"/>
          <w:rFonts w:ascii="Times New Roman" w:hAnsi="Times New Roman" w:cs="Times New Roman"/>
          <w:color w:val="auto"/>
          <w:sz w:val="24"/>
          <w:szCs w:val="24"/>
        </w:rPr>
      </w:pPr>
      <w:bookmarkStart w:id="0" w:name="_Toc15143752"/>
      <w:r w:rsidRPr="00B22946">
        <w:rPr>
          <w:rStyle w:val="value"/>
          <w:rFonts w:ascii="Times New Roman" w:hAnsi="Times New Roman" w:cs="Times New Roman"/>
          <w:color w:val="auto"/>
          <w:sz w:val="24"/>
          <w:szCs w:val="24"/>
        </w:rPr>
        <w:t xml:space="preserve">Solution to Erroneous </w:t>
      </w:r>
      <w:r w:rsidR="00BC27C1" w:rsidRPr="00B22946">
        <w:rPr>
          <w:rStyle w:val="value"/>
          <w:rFonts w:ascii="Times New Roman" w:hAnsi="Times New Roman" w:cs="Times New Roman"/>
          <w:color w:val="auto"/>
          <w:sz w:val="24"/>
          <w:szCs w:val="24"/>
        </w:rPr>
        <w:t xml:space="preserve">Medical </w:t>
      </w:r>
      <w:r w:rsidRPr="00B22946">
        <w:rPr>
          <w:rStyle w:val="value"/>
          <w:rFonts w:ascii="Times New Roman" w:hAnsi="Times New Roman" w:cs="Times New Roman"/>
          <w:color w:val="auto"/>
          <w:sz w:val="24"/>
          <w:szCs w:val="24"/>
        </w:rPr>
        <w:t>History</w:t>
      </w:r>
      <w:bookmarkEnd w:id="0"/>
    </w:p>
    <w:p w:rsidR="00E86200" w:rsidRPr="00B22946" w:rsidRDefault="00E86200" w:rsidP="00B22946">
      <w:pPr>
        <w:spacing w:line="480" w:lineRule="auto"/>
        <w:rPr>
          <w:rFonts w:cs="Times New Roman"/>
          <w:szCs w:val="24"/>
        </w:rPr>
      </w:pPr>
      <w:r w:rsidRPr="00B22946">
        <w:rPr>
          <w:rFonts w:cs="Times New Roman"/>
          <w:szCs w:val="24"/>
        </w:rPr>
        <w:t>In the efforts to reduce errors in medical history, the concept of medical reconciliation has arisen.</w:t>
      </w:r>
      <w:r w:rsidR="009B254A" w:rsidRPr="00B22946">
        <w:rPr>
          <w:rFonts w:cs="Times New Roman"/>
          <w:szCs w:val="24"/>
        </w:rPr>
        <w:t xml:space="preserve"> Medical reconciliation is a formal process where caregivers liaise with patients and their families to ensure that the accurate and complete profiling of past medications has been achieved at the interfaces of care. </w:t>
      </w:r>
      <w:r w:rsidR="00FB4521" w:rsidRPr="00B22946">
        <w:rPr>
          <w:rFonts w:cs="Times New Roman"/>
          <w:szCs w:val="24"/>
        </w:rPr>
        <w:t>The process involves obtaining the Best Possible Medication History (BPMH), using the information when making admission, transfer, and discharge, and comparing the BPMH with the medication orders during patient’s stay in the hospital to identify any discrepancies</w:t>
      </w:r>
      <w:r w:rsidR="000D736F" w:rsidRPr="00B22946">
        <w:rPr>
          <w:rFonts w:cs="Times New Roman"/>
          <w:szCs w:val="24"/>
        </w:rPr>
        <w:t xml:space="preserve"> (Office of Interprofessional Education and Practice 2009)</w:t>
      </w:r>
      <w:r w:rsidR="00FB4521" w:rsidRPr="00B22946">
        <w:rPr>
          <w:rFonts w:cs="Times New Roman"/>
          <w:szCs w:val="24"/>
        </w:rPr>
        <w:t>.</w:t>
      </w:r>
    </w:p>
    <w:p w:rsidR="00DE1F3E" w:rsidRPr="00B22946" w:rsidRDefault="00DE1F3E" w:rsidP="00B22946">
      <w:pPr>
        <w:spacing w:line="480" w:lineRule="auto"/>
        <w:rPr>
          <w:rFonts w:cs="Times New Roman"/>
          <w:szCs w:val="24"/>
        </w:rPr>
      </w:pPr>
      <w:r w:rsidRPr="00B22946">
        <w:rPr>
          <w:rFonts w:cs="Times New Roman"/>
          <w:szCs w:val="24"/>
        </w:rPr>
        <w:t xml:space="preserve">Medication reconciliation </w:t>
      </w:r>
      <w:r w:rsidR="00DB0FAF">
        <w:rPr>
          <w:rFonts w:cs="Times New Roman"/>
          <w:szCs w:val="24"/>
        </w:rPr>
        <w:t xml:space="preserve">is </w:t>
      </w:r>
      <w:r w:rsidRPr="00B22946">
        <w:rPr>
          <w:rFonts w:cs="Times New Roman"/>
          <w:szCs w:val="24"/>
        </w:rPr>
        <w:t>considered by several international patients’ safety organization</w:t>
      </w:r>
      <w:r w:rsidR="00CC4DFF" w:rsidRPr="00B22946">
        <w:rPr>
          <w:rFonts w:cs="Times New Roman"/>
          <w:szCs w:val="24"/>
        </w:rPr>
        <w:t>s</w:t>
      </w:r>
      <w:r w:rsidRPr="00B22946">
        <w:rPr>
          <w:rFonts w:cs="Times New Roman"/>
          <w:szCs w:val="24"/>
        </w:rPr>
        <w:t xml:space="preserve"> like world health organization (WHO), Institute for Health care Improvement</w:t>
      </w:r>
      <w:r w:rsidR="00CC4DFF" w:rsidRPr="00B22946">
        <w:rPr>
          <w:rFonts w:cs="Times New Roman"/>
          <w:szCs w:val="24"/>
        </w:rPr>
        <w:t xml:space="preserve"> (I</w:t>
      </w:r>
      <w:r w:rsidRPr="00B22946">
        <w:rPr>
          <w:rFonts w:cs="Times New Roman"/>
          <w:szCs w:val="24"/>
        </w:rPr>
        <w:t>H</w:t>
      </w:r>
      <w:r w:rsidR="00CC4DFF" w:rsidRPr="00B22946">
        <w:rPr>
          <w:rFonts w:cs="Times New Roman"/>
          <w:szCs w:val="24"/>
        </w:rPr>
        <w:t>I</w:t>
      </w:r>
      <w:r w:rsidRPr="00B22946">
        <w:rPr>
          <w:rFonts w:cs="Times New Roman"/>
          <w:szCs w:val="24"/>
        </w:rPr>
        <w:t>)</w:t>
      </w:r>
      <w:r w:rsidR="006F0289" w:rsidRPr="00B22946">
        <w:rPr>
          <w:rFonts w:cs="Times New Roman"/>
          <w:szCs w:val="24"/>
        </w:rPr>
        <w:t>,</w:t>
      </w:r>
      <w:r w:rsidRPr="00B22946">
        <w:rPr>
          <w:rFonts w:cs="Times New Roman"/>
          <w:szCs w:val="24"/>
        </w:rPr>
        <w:t xml:space="preserve"> and the Joint Commission </w:t>
      </w:r>
      <w:r w:rsidR="004010B2" w:rsidRPr="00B22946">
        <w:rPr>
          <w:rFonts w:cs="Times New Roman"/>
          <w:szCs w:val="24"/>
        </w:rPr>
        <w:t xml:space="preserve">International (JCI) </w:t>
      </w:r>
      <w:r w:rsidRPr="00B22946">
        <w:rPr>
          <w:rFonts w:cs="Times New Roman"/>
          <w:szCs w:val="24"/>
        </w:rPr>
        <w:t xml:space="preserve">as one </w:t>
      </w:r>
      <w:r w:rsidR="003747C2" w:rsidRPr="00B22946">
        <w:rPr>
          <w:rFonts w:cs="Times New Roman"/>
          <w:szCs w:val="24"/>
        </w:rPr>
        <w:t xml:space="preserve"> of the most important procedures in </w:t>
      </w:r>
      <w:r w:rsidRPr="00B22946">
        <w:rPr>
          <w:rFonts w:cs="Times New Roman"/>
          <w:szCs w:val="24"/>
        </w:rPr>
        <w:t>improving patient safety</w:t>
      </w:r>
      <w:r w:rsidR="003747C2" w:rsidRPr="00B22946">
        <w:rPr>
          <w:rFonts w:cs="Times New Roman"/>
          <w:szCs w:val="24"/>
        </w:rPr>
        <w:t>. These procedures are done</w:t>
      </w:r>
      <w:r w:rsidR="00B22BB2" w:rsidRPr="00B22946">
        <w:rPr>
          <w:rFonts w:cs="Times New Roman"/>
          <w:szCs w:val="24"/>
        </w:rPr>
        <w:t xml:space="preserve"> at </w:t>
      </w:r>
      <w:r w:rsidRPr="00B22946">
        <w:rPr>
          <w:rFonts w:cs="Times New Roman"/>
          <w:szCs w:val="24"/>
        </w:rPr>
        <w:t>care transition points (admission, transfer between health care units an</w:t>
      </w:r>
      <w:r w:rsidR="003747C2" w:rsidRPr="00B22946">
        <w:rPr>
          <w:rFonts w:cs="Times New Roman"/>
          <w:szCs w:val="24"/>
        </w:rPr>
        <w:t xml:space="preserve">d discharge) and facilitate </w:t>
      </w:r>
      <w:r w:rsidR="00BB314E" w:rsidRPr="00B22946">
        <w:rPr>
          <w:rFonts w:cs="Times New Roman"/>
          <w:szCs w:val="24"/>
        </w:rPr>
        <w:t xml:space="preserve">the </w:t>
      </w:r>
      <w:r w:rsidR="003747C2" w:rsidRPr="00B22946">
        <w:rPr>
          <w:rFonts w:cs="Times New Roman"/>
          <w:szCs w:val="24"/>
        </w:rPr>
        <w:t xml:space="preserve">avoidance of </w:t>
      </w:r>
      <w:r w:rsidRPr="00B22946">
        <w:rPr>
          <w:rFonts w:cs="Times New Roman"/>
          <w:szCs w:val="24"/>
        </w:rPr>
        <w:t xml:space="preserve">medication errors such as omission, commission, duplication, dosing errors or drug interaction, </w:t>
      </w:r>
      <w:r w:rsidR="007D01DF" w:rsidRPr="00B22946">
        <w:rPr>
          <w:rFonts w:cs="Times New Roman"/>
          <w:szCs w:val="24"/>
        </w:rPr>
        <w:t xml:space="preserve">and </w:t>
      </w:r>
      <w:r w:rsidRPr="00B22946">
        <w:rPr>
          <w:rFonts w:cs="Times New Roman"/>
          <w:szCs w:val="24"/>
        </w:rPr>
        <w:t>preventable</w:t>
      </w:r>
      <w:r w:rsidR="00403952">
        <w:rPr>
          <w:rFonts w:cs="Times New Roman"/>
          <w:szCs w:val="24"/>
        </w:rPr>
        <w:t xml:space="preserve"> </w:t>
      </w:r>
      <w:r w:rsidRPr="00B22946">
        <w:rPr>
          <w:rFonts w:cs="Times New Roman"/>
          <w:szCs w:val="24"/>
        </w:rPr>
        <w:t>ADRs that result in prolongation in-hospital stay</w:t>
      </w:r>
      <w:r w:rsidR="00BB314E" w:rsidRPr="00B22946">
        <w:rPr>
          <w:rFonts w:cs="Times New Roman"/>
          <w:szCs w:val="24"/>
        </w:rPr>
        <w:t>.</w:t>
      </w:r>
      <w:r w:rsidR="008800A2" w:rsidRPr="00B22946">
        <w:rPr>
          <w:rFonts w:cs="Times New Roman"/>
          <w:szCs w:val="24"/>
        </w:rPr>
        <w:t xml:space="preserve"> Consequently, diagnosis complications and subsequent patients harm, </w:t>
      </w:r>
      <w:r w:rsidR="00403952">
        <w:rPr>
          <w:rFonts w:cs="Times New Roman"/>
          <w:szCs w:val="24"/>
        </w:rPr>
        <w:t xml:space="preserve">and disability </w:t>
      </w:r>
      <w:r w:rsidR="008800A2" w:rsidRPr="00B22946">
        <w:rPr>
          <w:rFonts w:cs="Times New Roman"/>
          <w:szCs w:val="24"/>
        </w:rPr>
        <w:t>are avoide</w:t>
      </w:r>
      <w:r w:rsidR="00152AA5" w:rsidRPr="00B22946">
        <w:rPr>
          <w:rFonts w:cs="Times New Roman"/>
          <w:szCs w:val="24"/>
        </w:rPr>
        <w:t>d</w:t>
      </w:r>
      <w:r w:rsidR="00403952">
        <w:rPr>
          <w:rFonts w:cs="Times New Roman"/>
          <w:szCs w:val="24"/>
        </w:rPr>
        <w:t xml:space="preserve"> (Fitzgerald et al. 2009; </w:t>
      </w:r>
      <w:r w:rsidR="00106596" w:rsidRPr="00B22946">
        <w:rPr>
          <w:rFonts w:cs="Times New Roman"/>
          <w:szCs w:val="24"/>
        </w:rPr>
        <w:t>Nickless et al.</w:t>
      </w:r>
      <w:r w:rsidR="00403952">
        <w:rPr>
          <w:rFonts w:cs="Times New Roman"/>
          <w:szCs w:val="24"/>
        </w:rPr>
        <w:t>,</w:t>
      </w:r>
      <w:r w:rsidR="00106596" w:rsidRPr="00B22946">
        <w:rPr>
          <w:rFonts w:cs="Times New Roman"/>
          <w:szCs w:val="24"/>
        </w:rPr>
        <w:t>2009</w:t>
      </w:r>
      <w:r w:rsidR="00403952">
        <w:rPr>
          <w:rFonts w:cs="Times New Roman"/>
          <w:szCs w:val="24"/>
        </w:rPr>
        <w:t xml:space="preserve">; </w:t>
      </w:r>
      <w:r w:rsidR="00106596" w:rsidRPr="00B22946">
        <w:rPr>
          <w:rFonts w:cs="Times New Roman"/>
          <w:szCs w:val="24"/>
        </w:rPr>
        <w:t xml:space="preserve"> Gleason</w:t>
      </w:r>
      <w:r w:rsidR="00352A2D" w:rsidRPr="00B22946">
        <w:rPr>
          <w:rFonts w:cs="Times New Roman"/>
          <w:szCs w:val="24"/>
        </w:rPr>
        <w:t xml:space="preserve"> et al. 2010</w:t>
      </w:r>
      <w:r w:rsidR="00403952">
        <w:rPr>
          <w:rFonts w:cs="Times New Roman"/>
          <w:szCs w:val="24"/>
        </w:rPr>
        <w:t xml:space="preserve">; </w:t>
      </w:r>
      <w:r w:rsidRPr="00B22946">
        <w:rPr>
          <w:rFonts w:cs="Times New Roman"/>
          <w:szCs w:val="24"/>
        </w:rPr>
        <w:t>Mazhar et al. 2017).</w:t>
      </w:r>
      <w:r w:rsidR="00403952">
        <w:rPr>
          <w:rFonts w:cs="Times New Roman"/>
          <w:szCs w:val="24"/>
        </w:rPr>
        <w:t xml:space="preserve"> </w:t>
      </w:r>
      <w:r w:rsidR="00242D17" w:rsidRPr="00B22946">
        <w:rPr>
          <w:rFonts w:cs="Times New Roman"/>
          <w:szCs w:val="24"/>
        </w:rPr>
        <w:t>One</w:t>
      </w:r>
      <w:r w:rsidR="004803FB">
        <w:rPr>
          <w:rFonts w:cs="Times New Roman"/>
          <w:szCs w:val="24"/>
        </w:rPr>
        <w:t xml:space="preserve"> study </w:t>
      </w:r>
      <w:r w:rsidRPr="00B22946">
        <w:rPr>
          <w:rFonts w:cs="Times New Roman"/>
          <w:szCs w:val="24"/>
        </w:rPr>
        <w:t>showed that medication reconciliation</w:t>
      </w:r>
      <w:r w:rsidR="00403952">
        <w:rPr>
          <w:rFonts w:cs="Times New Roman"/>
          <w:szCs w:val="24"/>
        </w:rPr>
        <w:t xml:space="preserve"> </w:t>
      </w:r>
      <w:r w:rsidR="00370922" w:rsidRPr="00B22946">
        <w:rPr>
          <w:rFonts w:cs="Times New Roman"/>
          <w:szCs w:val="24"/>
        </w:rPr>
        <w:t xml:space="preserve">decrease </w:t>
      </w:r>
      <w:r w:rsidRPr="00B22946">
        <w:rPr>
          <w:rFonts w:cs="Times New Roman"/>
          <w:szCs w:val="24"/>
        </w:rPr>
        <w:t>medication errors upon during admission and discharge for the surgical patient from 90%to 47% (Institute for healthcare improvement 2019)</w:t>
      </w:r>
      <w:r w:rsidR="00453E80" w:rsidRPr="00B22946">
        <w:rPr>
          <w:rFonts w:cs="Times New Roman"/>
          <w:szCs w:val="24"/>
        </w:rPr>
        <w:t>.</w:t>
      </w:r>
      <w:r w:rsidRPr="00B22946">
        <w:rPr>
          <w:rFonts w:cs="Times New Roman"/>
          <w:szCs w:val="24"/>
        </w:rPr>
        <w:t>An effective medication reconciliation process can disclose and avoid up to</w:t>
      </w:r>
      <w:r w:rsidR="003C6D10" w:rsidRPr="00B22946">
        <w:rPr>
          <w:rFonts w:cs="Times New Roman"/>
          <w:szCs w:val="24"/>
        </w:rPr>
        <w:t xml:space="preserve"> 85% of medication discrepancy </w:t>
      </w:r>
      <w:r w:rsidRPr="00B22946">
        <w:rPr>
          <w:rFonts w:cs="Times New Roman"/>
          <w:szCs w:val="24"/>
        </w:rPr>
        <w:t>(</w:t>
      </w:r>
      <w:r w:rsidR="00023199">
        <w:rPr>
          <w:rFonts w:cs="Times New Roman"/>
          <w:szCs w:val="24"/>
        </w:rPr>
        <w:t xml:space="preserve">Gleason </w:t>
      </w:r>
      <w:r w:rsidRPr="00B22946">
        <w:rPr>
          <w:rFonts w:cs="Times New Roman"/>
          <w:szCs w:val="24"/>
        </w:rPr>
        <w:t>et al.</w:t>
      </w:r>
      <w:r w:rsidR="00023199">
        <w:rPr>
          <w:rFonts w:cs="Times New Roman"/>
          <w:szCs w:val="24"/>
        </w:rPr>
        <w:t>,</w:t>
      </w:r>
      <w:r w:rsidRPr="00B22946">
        <w:rPr>
          <w:rFonts w:cs="Times New Roman"/>
          <w:szCs w:val="24"/>
        </w:rPr>
        <w:t xml:space="preserve"> 2012)</w:t>
      </w:r>
      <w:r w:rsidR="00666A0F" w:rsidRPr="00B22946">
        <w:rPr>
          <w:rFonts w:cs="Times New Roman"/>
          <w:szCs w:val="24"/>
        </w:rPr>
        <w:t>.</w:t>
      </w:r>
    </w:p>
    <w:p w:rsidR="00403952" w:rsidRPr="00403952" w:rsidRDefault="00403952" w:rsidP="00403952">
      <w:pPr>
        <w:rPr>
          <w:b/>
        </w:rPr>
      </w:pPr>
      <w:r w:rsidRPr="00403952">
        <w:rPr>
          <w:b/>
        </w:rPr>
        <w:t>B</w:t>
      </w:r>
      <w:r w:rsidR="000A76F9">
        <w:rPr>
          <w:b/>
        </w:rPr>
        <w:t>e</w:t>
      </w:r>
      <w:r w:rsidRPr="00403952">
        <w:rPr>
          <w:b/>
        </w:rPr>
        <w:t>nefits of Accurate Medication History at Hospital Admission</w:t>
      </w:r>
    </w:p>
    <w:p w:rsidR="00DE1F3E" w:rsidRPr="00B22946" w:rsidRDefault="008E2A27" w:rsidP="00B22946">
      <w:pPr>
        <w:spacing w:line="480" w:lineRule="auto"/>
        <w:rPr>
          <w:rFonts w:cs="Times New Roman"/>
          <w:szCs w:val="24"/>
        </w:rPr>
      </w:pPr>
      <w:r w:rsidRPr="00B22946">
        <w:rPr>
          <w:rFonts w:cs="Times New Roman"/>
          <w:szCs w:val="24"/>
        </w:rPr>
        <w:t>It is imperative to have an accurate medication history of a patient.  It g</w:t>
      </w:r>
      <w:r w:rsidR="00DE1F3E" w:rsidRPr="00B22946">
        <w:rPr>
          <w:rFonts w:cs="Times New Roman"/>
          <w:szCs w:val="24"/>
        </w:rPr>
        <w:t>uide</w:t>
      </w:r>
      <w:r w:rsidRPr="00B22946">
        <w:rPr>
          <w:rFonts w:cs="Times New Roman"/>
          <w:szCs w:val="24"/>
        </w:rPr>
        <w:t>s</w:t>
      </w:r>
      <w:r w:rsidR="00DE1F3E" w:rsidRPr="00B22946">
        <w:rPr>
          <w:rFonts w:cs="Times New Roman"/>
          <w:szCs w:val="24"/>
        </w:rPr>
        <w:t xml:space="preserve"> the admitting doctor</w:t>
      </w:r>
      <w:r w:rsidRPr="00B22946">
        <w:rPr>
          <w:rFonts w:cs="Times New Roman"/>
          <w:szCs w:val="24"/>
        </w:rPr>
        <w:t>,</w:t>
      </w:r>
      <w:r w:rsidR="00DE1F3E" w:rsidRPr="00B22946">
        <w:rPr>
          <w:rFonts w:cs="Times New Roman"/>
          <w:szCs w:val="24"/>
        </w:rPr>
        <w:t xml:space="preserve"> during medication order</w:t>
      </w:r>
      <w:r w:rsidRPr="00B22946">
        <w:rPr>
          <w:rFonts w:cs="Times New Roman"/>
          <w:szCs w:val="24"/>
        </w:rPr>
        <w:t>,</w:t>
      </w:r>
      <w:r w:rsidR="00DE1F3E" w:rsidRPr="00B22946">
        <w:rPr>
          <w:rFonts w:cs="Times New Roman"/>
          <w:szCs w:val="24"/>
        </w:rPr>
        <w:t xml:space="preserve"> to continue maintenance drugs that the patient </w:t>
      </w:r>
      <w:r w:rsidRPr="00B22946">
        <w:rPr>
          <w:rFonts w:cs="Times New Roman"/>
          <w:szCs w:val="24"/>
        </w:rPr>
        <w:t xml:space="preserve">received during past hospitalization </w:t>
      </w:r>
      <w:r w:rsidR="00D23B70" w:rsidRPr="00B22946">
        <w:rPr>
          <w:rFonts w:cs="Times New Roman"/>
          <w:szCs w:val="24"/>
        </w:rPr>
        <w:t>(</w:t>
      </w:r>
      <w:r w:rsidR="000D7DDC" w:rsidRPr="00B22946">
        <w:rPr>
          <w:rFonts w:cs="Times New Roman"/>
          <w:szCs w:val="24"/>
        </w:rPr>
        <w:t>Hogg et al. 2015). It also facilitates the avoidance of pres</w:t>
      </w:r>
      <w:r w:rsidR="00DE1F3E" w:rsidRPr="00B22946">
        <w:rPr>
          <w:rFonts w:cs="Times New Roman"/>
          <w:szCs w:val="24"/>
        </w:rPr>
        <w:t>cribing unsuitable medication that can interact with the patient’s</w:t>
      </w:r>
      <w:r w:rsidR="00403952">
        <w:rPr>
          <w:rFonts w:cs="Times New Roman"/>
          <w:szCs w:val="24"/>
        </w:rPr>
        <w:t xml:space="preserve"> </w:t>
      </w:r>
      <w:r w:rsidR="00DE1F3E" w:rsidRPr="00B22946">
        <w:rPr>
          <w:rFonts w:cs="Times New Roman"/>
          <w:szCs w:val="24"/>
        </w:rPr>
        <w:t xml:space="preserve">current medication. </w:t>
      </w:r>
      <w:r w:rsidR="007226CF" w:rsidRPr="00B22946">
        <w:rPr>
          <w:rFonts w:cs="Times New Roman"/>
          <w:szCs w:val="24"/>
        </w:rPr>
        <w:t xml:space="preserve"> The information </w:t>
      </w:r>
      <w:r w:rsidR="00DE1F3E" w:rsidRPr="00B22946">
        <w:rPr>
          <w:rFonts w:cs="Times New Roman"/>
          <w:szCs w:val="24"/>
        </w:rPr>
        <w:t xml:space="preserve"> becomes more important for patient safety when the health care delivery system becomes more co</w:t>
      </w:r>
      <w:r w:rsidR="00BB0B29" w:rsidRPr="00B22946">
        <w:rPr>
          <w:rFonts w:cs="Times New Roman"/>
          <w:szCs w:val="24"/>
        </w:rPr>
        <w:t>mplex and specialized, and allows the caregivers to give coordinated care, picking from where was left in the past</w:t>
      </w:r>
      <w:r w:rsidR="00DE1F3E" w:rsidRPr="00B22946">
        <w:rPr>
          <w:rFonts w:cs="Times New Roman"/>
          <w:szCs w:val="24"/>
        </w:rPr>
        <w:t>(</w:t>
      </w:r>
      <w:r w:rsidR="00D23B70" w:rsidRPr="00B22946">
        <w:rPr>
          <w:rFonts w:cs="Times New Roman"/>
          <w:szCs w:val="24"/>
        </w:rPr>
        <w:t>Gleason</w:t>
      </w:r>
      <w:r w:rsidR="00DE1F3E" w:rsidRPr="00B22946">
        <w:rPr>
          <w:rFonts w:cs="Times New Roman"/>
          <w:szCs w:val="24"/>
        </w:rPr>
        <w:t xml:space="preserve"> et al. 2004).</w:t>
      </w:r>
      <w:r w:rsidR="00B84A2D" w:rsidRPr="00B22946">
        <w:rPr>
          <w:rFonts w:cs="Times New Roman"/>
          <w:szCs w:val="24"/>
        </w:rPr>
        <w:t xml:space="preserve"> Accurate </w:t>
      </w:r>
      <w:r w:rsidR="00DE1F3E" w:rsidRPr="00B22946">
        <w:rPr>
          <w:rFonts w:cs="Times New Roman"/>
          <w:szCs w:val="24"/>
        </w:rPr>
        <w:t>medication history includes any previous allergy reaction, its nature, and treatment to avoid unnecessary, expensive, and potentially life-threatening reactions</w:t>
      </w:r>
      <w:r w:rsidR="00B84A2D" w:rsidRPr="00B22946">
        <w:rPr>
          <w:rFonts w:cs="Times New Roman"/>
          <w:szCs w:val="24"/>
        </w:rPr>
        <w:t>; such records will help prevent putting the patient in life-threatening situations</w:t>
      </w:r>
      <w:r w:rsidR="00106596" w:rsidRPr="00B22946">
        <w:rPr>
          <w:rFonts w:cs="Times New Roman"/>
          <w:szCs w:val="24"/>
        </w:rPr>
        <w:t xml:space="preserve"> (</w:t>
      </w:r>
      <w:r w:rsidR="00DE1F3E" w:rsidRPr="00B22946">
        <w:rPr>
          <w:rFonts w:cs="Times New Roman"/>
          <w:szCs w:val="24"/>
        </w:rPr>
        <w:t>Rosenfeld et al. 2013).</w:t>
      </w:r>
      <w:r w:rsidR="0089088A" w:rsidRPr="00B22946">
        <w:rPr>
          <w:rFonts w:cs="Times New Roman"/>
          <w:szCs w:val="24"/>
        </w:rPr>
        <w:t xml:space="preserve"> The information makes the </w:t>
      </w:r>
      <w:r w:rsidR="00DE1F3E" w:rsidRPr="00B22946">
        <w:rPr>
          <w:rFonts w:cs="Times New Roman"/>
          <w:szCs w:val="24"/>
        </w:rPr>
        <w:t>prescr</w:t>
      </w:r>
      <w:r w:rsidR="00643D07" w:rsidRPr="00B22946">
        <w:rPr>
          <w:rFonts w:cs="Times New Roman"/>
          <w:szCs w:val="24"/>
        </w:rPr>
        <w:t>iber aware of patient adherence</w:t>
      </w:r>
      <w:r w:rsidR="00DE1F3E" w:rsidRPr="00B22946">
        <w:rPr>
          <w:rFonts w:cs="Times New Roman"/>
          <w:szCs w:val="24"/>
        </w:rPr>
        <w:t xml:space="preserve"> and </w:t>
      </w:r>
      <w:r w:rsidR="0089088A" w:rsidRPr="00B22946">
        <w:rPr>
          <w:rFonts w:cs="Times New Roman"/>
          <w:szCs w:val="24"/>
        </w:rPr>
        <w:t>prescription</w:t>
      </w:r>
      <w:r w:rsidR="00DE1F3E" w:rsidRPr="00B22946">
        <w:rPr>
          <w:rFonts w:cs="Times New Roman"/>
          <w:szCs w:val="24"/>
        </w:rPr>
        <w:t xml:space="preserve"> noncompliance </w:t>
      </w:r>
      <w:r w:rsidR="0089088A" w:rsidRPr="00B22946">
        <w:rPr>
          <w:rFonts w:cs="Times New Roman"/>
          <w:szCs w:val="24"/>
        </w:rPr>
        <w:t xml:space="preserve">that </w:t>
      </w:r>
      <w:r w:rsidR="00DE1F3E" w:rsidRPr="00B22946">
        <w:rPr>
          <w:rFonts w:cs="Times New Roman"/>
          <w:szCs w:val="24"/>
        </w:rPr>
        <w:t>may result in patient harm, delayin</w:t>
      </w:r>
      <w:r w:rsidR="00AA74A5">
        <w:rPr>
          <w:rFonts w:cs="Times New Roman"/>
          <w:szCs w:val="24"/>
        </w:rPr>
        <w:t>g</w:t>
      </w:r>
      <w:r w:rsidR="00DE1F3E" w:rsidRPr="00B22946">
        <w:rPr>
          <w:rFonts w:cs="Times New Roman"/>
          <w:szCs w:val="24"/>
        </w:rPr>
        <w:t xml:space="preserve"> healing, additional diagnostic test</w:t>
      </w:r>
      <w:r w:rsidR="00643D07" w:rsidRPr="00B22946">
        <w:rPr>
          <w:rFonts w:cs="Times New Roman"/>
          <w:szCs w:val="24"/>
        </w:rPr>
        <w:t>s</w:t>
      </w:r>
      <w:r w:rsidR="00DE1F3E" w:rsidRPr="00B22946">
        <w:rPr>
          <w:rFonts w:cs="Times New Roman"/>
          <w:szCs w:val="24"/>
        </w:rPr>
        <w:t>,</w:t>
      </w:r>
      <w:r w:rsidR="001A46FA">
        <w:rPr>
          <w:rFonts w:cs="Times New Roman"/>
          <w:szCs w:val="24"/>
        </w:rPr>
        <w:t xml:space="preserve"> </w:t>
      </w:r>
      <w:r w:rsidR="00DE1F3E" w:rsidRPr="00B22946">
        <w:rPr>
          <w:rFonts w:cs="Times New Roman"/>
          <w:szCs w:val="24"/>
        </w:rPr>
        <w:t xml:space="preserve">rehospitalization, </w:t>
      </w:r>
      <w:r w:rsidR="00643D07" w:rsidRPr="00B22946">
        <w:rPr>
          <w:rFonts w:cs="Times New Roman"/>
          <w:szCs w:val="24"/>
        </w:rPr>
        <w:t>or further treatment co</w:t>
      </w:r>
      <w:r w:rsidR="00DE1F3E" w:rsidRPr="00B22946">
        <w:rPr>
          <w:rFonts w:cs="Times New Roman"/>
          <w:szCs w:val="24"/>
        </w:rPr>
        <w:t>st</w:t>
      </w:r>
      <w:r w:rsidR="00643D07" w:rsidRPr="00B22946">
        <w:rPr>
          <w:rFonts w:cs="Times New Roman"/>
          <w:szCs w:val="24"/>
        </w:rPr>
        <w:t>s.</w:t>
      </w:r>
    </w:p>
    <w:p w:rsidR="00DE1F3E" w:rsidRPr="00B22946" w:rsidRDefault="00DE1F3E" w:rsidP="00B22946">
      <w:pPr>
        <w:spacing w:line="480" w:lineRule="auto"/>
        <w:rPr>
          <w:rFonts w:cs="Times New Roman"/>
          <w:szCs w:val="24"/>
        </w:rPr>
      </w:pPr>
      <w:r w:rsidRPr="00B22946">
        <w:rPr>
          <w:rFonts w:cs="Times New Roman"/>
          <w:szCs w:val="24"/>
        </w:rPr>
        <w:t>AD</w:t>
      </w:r>
      <w:r w:rsidR="00BE33CA" w:rsidRPr="00B22946">
        <w:rPr>
          <w:rFonts w:cs="Times New Roman"/>
          <w:szCs w:val="24"/>
        </w:rPr>
        <w:t>R</w:t>
      </w:r>
      <w:r w:rsidRPr="00B22946">
        <w:rPr>
          <w:rFonts w:cs="Times New Roman"/>
          <w:szCs w:val="24"/>
        </w:rPr>
        <w:t>s associated with medicat</w:t>
      </w:r>
      <w:r w:rsidR="00C208C0" w:rsidRPr="00B22946">
        <w:rPr>
          <w:rFonts w:cs="Times New Roman"/>
          <w:szCs w:val="24"/>
        </w:rPr>
        <w:t>ion discrepancies can prolong patient</w:t>
      </w:r>
      <w:r w:rsidRPr="00B22946">
        <w:rPr>
          <w:rFonts w:cs="Times New Roman"/>
          <w:szCs w:val="24"/>
        </w:rPr>
        <w:t xml:space="preserve"> stay in the hospital and</w:t>
      </w:r>
      <w:r w:rsidR="00023199">
        <w:rPr>
          <w:rFonts w:cs="Times New Roman"/>
          <w:szCs w:val="24"/>
        </w:rPr>
        <w:t xml:space="preserve"> </w:t>
      </w:r>
      <w:r w:rsidRPr="00B22946">
        <w:rPr>
          <w:rFonts w:cs="Times New Roman"/>
          <w:szCs w:val="24"/>
        </w:rPr>
        <w:t>increase emergency visiting f</w:t>
      </w:r>
      <w:r w:rsidR="00665BE4" w:rsidRPr="00B22946">
        <w:rPr>
          <w:rFonts w:cs="Times New Roman"/>
          <w:szCs w:val="24"/>
        </w:rPr>
        <w:t xml:space="preserve">requency as well as </w:t>
      </w:r>
      <w:r w:rsidRPr="00B22946">
        <w:rPr>
          <w:rFonts w:cs="Times New Roman"/>
          <w:szCs w:val="24"/>
        </w:rPr>
        <w:t>hospital readmissions</w:t>
      </w:r>
      <w:r w:rsidR="00665BE4" w:rsidRPr="00B22946">
        <w:rPr>
          <w:rFonts w:cs="Times New Roman"/>
          <w:szCs w:val="24"/>
        </w:rPr>
        <w:t xml:space="preserve">. </w:t>
      </w:r>
      <w:r w:rsidR="00585DFF" w:rsidRPr="00B22946">
        <w:rPr>
          <w:rFonts w:cs="Times New Roman"/>
          <w:szCs w:val="24"/>
        </w:rPr>
        <w:t>A</w:t>
      </w:r>
      <w:r w:rsidRPr="00B22946">
        <w:rPr>
          <w:rFonts w:cs="Times New Roman"/>
          <w:szCs w:val="24"/>
        </w:rPr>
        <w:t>ccurate medication history makes it easy for the physician to identify potential</w:t>
      </w:r>
      <w:r w:rsidR="00BE05BF">
        <w:rPr>
          <w:rFonts w:cs="Times New Roman"/>
          <w:szCs w:val="24"/>
        </w:rPr>
        <w:t xml:space="preserve"> </w:t>
      </w:r>
      <w:r w:rsidR="00585DFF" w:rsidRPr="00B22946">
        <w:rPr>
          <w:rFonts w:cs="Times New Roman"/>
          <w:szCs w:val="24"/>
        </w:rPr>
        <w:t xml:space="preserve">ADRs and </w:t>
      </w:r>
      <w:r w:rsidRPr="00B22946">
        <w:rPr>
          <w:rFonts w:cs="Times New Roman"/>
          <w:szCs w:val="24"/>
        </w:rPr>
        <w:t>drug interaction</w:t>
      </w:r>
      <w:r w:rsidR="00BE05BF">
        <w:rPr>
          <w:rFonts w:cs="Times New Roman"/>
          <w:szCs w:val="24"/>
        </w:rPr>
        <w:t xml:space="preserve"> </w:t>
      </w:r>
      <w:r w:rsidRPr="00B22946">
        <w:rPr>
          <w:rFonts w:cs="Times New Roman"/>
          <w:szCs w:val="24"/>
        </w:rPr>
        <w:t>and take appropriate action to mi</w:t>
      </w:r>
      <w:r w:rsidR="00585DFF" w:rsidRPr="00B22946">
        <w:rPr>
          <w:rFonts w:cs="Times New Roman"/>
          <w:szCs w:val="24"/>
        </w:rPr>
        <w:t xml:space="preserve">nimize </w:t>
      </w:r>
      <w:r w:rsidRPr="00B22946">
        <w:rPr>
          <w:rFonts w:cs="Times New Roman"/>
          <w:szCs w:val="24"/>
        </w:rPr>
        <w:t>t</w:t>
      </w:r>
      <w:r w:rsidR="00585DFF" w:rsidRPr="00B22946">
        <w:rPr>
          <w:rFonts w:cs="Times New Roman"/>
          <w:szCs w:val="24"/>
        </w:rPr>
        <w:t>hem</w:t>
      </w:r>
      <w:r w:rsidRPr="00B22946">
        <w:rPr>
          <w:rFonts w:cs="Times New Roman"/>
          <w:szCs w:val="24"/>
        </w:rPr>
        <w:t xml:space="preserve"> during admissio</w:t>
      </w:r>
      <w:r w:rsidR="00C208C0" w:rsidRPr="00B22946">
        <w:rPr>
          <w:rFonts w:cs="Times New Roman"/>
          <w:szCs w:val="24"/>
        </w:rPr>
        <w:t xml:space="preserve">n and after discharge </w:t>
      </w:r>
      <w:r w:rsidR="00D23B70" w:rsidRPr="00B22946">
        <w:rPr>
          <w:rFonts w:cs="Times New Roman"/>
          <w:szCs w:val="24"/>
        </w:rPr>
        <w:t>(</w:t>
      </w:r>
      <w:r w:rsidRPr="00B22946">
        <w:rPr>
          <w:rFonts w:cs="Times New Roman"/>
          <w:szCs w:val="24"/>
        </w:rPr>
        <w:t>Hogg</w:t>
      </w:r>
      <w:r w:rsidR="00D23B70" w:rsidRPr="00B22946">
        <w:rPr>
          <w:rFonts w:cs="Times New Roman"/>
          <w:szCs w:val="24"/>
        </w:rPr>
        <w:t xml:space="preserve"> et al. 2015, Frei et al. 2009, </w:t>
      </w:r>
      <w:r w:rsidR="00106596" w:rsidRPr="00B22946">
        <w:rPr>
          <w:rFonts w:cs="Times New Roman"/>
          <w:szCs w:val="24"/>
        </w:rPr>
        <w:t>Gleason</w:t>
      </w:r>
      <w:r w:rsidRPr="00B22946">
        <w:rPr>
          <w:rFonts w:cs="Times New Roman"/>
          <w:szCs w:val="24"/>
        </w:rPr>
        <w:t xml:space="preserve"> et al. 2010)</w:t>
      </w:r>
      <w:r w:rsidR="00585DFF" w:rsidRPr="00B22946">
        <w:rPr>
          <w:rFonts w:cs="Times New Roman"/>
          <w:szCs w:val="24"/>
        </w:rPr>
        <w:t>.</w:t>
      </w:r>
      <w:r w:rsidR="00FB2343" w:rsidRPr="00B22946">
        <w:rPr>
          <w:rFonts w:cs="Times New Roman"/>
          <w:szCs w:val="24"/>
        </w:rPr>
        <w:t xml:space="preserve"> Such measures associated with preventing errors in ADRs omission minimize patient’s harm, risk of disability, and minimizes the treatment costs.</w:t>
      </w:r>
      <w:r w:rsidR="002D3AFB" w:rsidRPr="00B22946">
        <w:rPr>
          <w:rFonts w:cs="Times New Roman"/>
          <w:szCs w:val="24"/>
        </w:rPr>
        <w:t xml:space="preserve"> The reduced harms associated with ADRs consequently minimize the mortality and morbidity rate in a health facility </w:t>
      </w:r>
      <w:r w:rsidR="00D23B70" w:rsidRPr="00B22946">
        <w:rPr>
          <w:rFonts w:cs="Times New Roman"/>
          <w:szCs w:val="24"/>
        </w:rPr>
        <w:t xml:space="preserve">(Fitzgerald </w:t>
      </w:r>
      <w:r w:rsidRPr="00B22946">
        <w:rPr>
          <w:rFonts w:cs="Times New Roman"/>
          <w:szCs w:val="24"/>
        </w:rPr>
        <w:t xml:space="preserve">et al. 2009- </w:t>
      </w:r>
      <w:r w:rsidR="00D23B70" w:rsidRPr="00B22946">
        <w:rPr>
          <w:rFonts w:cs="Times New Roman"/>
          <w:szCs w:val="24"/>
        </w:rPr>
        <w:t>Gleason</w:t>
      </w:r>
      <w:r w:rsidRPr="00B22946">
        <w:rPr>
          <w:rFonts w:cs="Times New Roman"/>
          <w:szCs w:val="24"/>
        </w:rPr>
        <w:t xml:space="preserve"> et al. 2004).</w:t>
      </w:r>
    </w:p>
    <w:p w:rsidR="00DE1F3E" w:rsidRPr="00B22946" w:rsidRDefault="00DE1F3E" w:rsidP="00B22946">
      <w:pPr>
        <w:spacing w:line="480" w:lineRule="auto"/>
        <w:rPr>
          <w:rFonts w:cs="Times New Roman"/>
          <w:szCs w:val="24"/>
        </w:rPr>
      </w:pPr>
      <w:r w:rsidRPr="00B22946">
        <w:rPr>
          <w:rFonts w:cs="Times New Roman"/>
          <w:szCs w:val="24"/>
        </w:rPr>
        <w:t xml:space="preserve">Accurate medication history </w:t>
      </w:r>
      <w:r w:rsidR="006448A1" w:rsidRPr="00B22946">
        <w:rPr>
          <w:rFonts w:cs="Times New Roman"/>
          <w:szCs w:val="24"/>
        </w:rPr>
        <w:t>allows the</w:t>
      </w:r>
      <w:r w:rsidRPr="00B22946">
        <w:rPr>
          <w:rFonts w:cs="Times New Roman"/>
          <w:szCs w:val="24"/>
        </w:rPr>
        <w:t xml:space="preserve"> physician </w:t>
      </w:r>
      <w:r w:rsidR="006448A1" w:rsidRPr="00B22946">
        <w:rPr>
          <w:rFonts w:cs="Times New Roman"/>
          <w:szCs w:val="24"/>
        </w:rPr>
        <w:t xml:space="preserve">to attend </w:t>
      </w:r>
      <w:r w:rsidR="00F4458D" w:rsidRPr="00B22946">
        <w:rPr>
          <w:rFonts w:cs="Times New Roman"/>
          <w:szCs w:val="24"/>
        </w:rPr>
        <w:t>to</w:t>
      </w:r>
      <w:r w:rsidRPr="00B22946">
        <w:rPr>
          <w:rFonts w:cs="Times New Roman"/>
          <w:szCs w:val="24"/>
        </w:rPr>
        <w:t xml:space="preserve"> medication-related</w:t>
      </w:r>
      <w:r w:rsidR="00BE05BF">
        <w:rPr>
          <w:rFonts w:cs="Times New Roman"/>
          <w:szCs w:val="24"/>
        </w:rPr>
        <w:t xml:space="preserve"> </w:t>
      </w:r>
      <w:r w:rsidR="002F2C2C" w:rsidRPr="00B22946">
        <w:rPr>
          <w:rFonts w:cs="Times New Roman"/>
          <w:szCs w:val="24"/>
        </w:rPr>
        <w:t>admission</w:t>
      </w:r>
      <w:r w:rsidR="00BE05BF">
        <w:rPr>
          <w:rFonts w:cs="Times New Roman"/>
          <w:szCs w:val="24"/>
        </w:rPr>
        <w:t>,</w:t>
      </w:r>
      <w:r w:rsidR="002F2C2C" w:rsidRPr="00B22946">
        <w:rPr>
          <w:rFonts w:cs="Times New Roman"/>
          <w:szCs w:val="24"/>
        </w:rPr>
        <w:t xml:space="preserve"> as</w:t>
      </w:r>
      <w:r w:rsidR="00BE05BF">
        <w:rPr>
          <w:rFonts w:cs="Times New Roman"/>
          <w:szCs w:val="24"/>
        </w:rPr>
        <w:t xml:space="preserve"> </w:t>
      </w:r>
      <w:r w:rsidRPr="00B22946">
        <w:rPr>
          <w:rFonts w:cs="Times New Roman"/>
          <w:szCs w:val="24"/>
        </w:rPr>
        <w:t>medication</w:t>
      </w:r>
      <w:r w:rsidR="00F4458D" w:rsidRPr="00B22946">
        <w:rPr>
          <w:rFonts w:cs="Times New Roman"/>
          <w:szCs w:val="24"/>
        </w:rPr>
        <w:t>s</w:t>
      </w:r>
      <w:r w:rsidRPr="00B22946">
        <w:rPr>
          <w:rFonts w:cs="Times New Roman"/>
          <w:szCs w:val="24"/>
        </w:rPr>
        <w:t xml:space="preserve"> can cause sickness directly or by</w:t>
      </w:r>
      <w:r w:rsidR="00BE05BF">
        <w:rPr>
          <w:rFonts w:cs="Times New Roman"/>
          <w:szCs w:val="24"/>
        </w:rPr>
        <w:t xml:space="preserve"> </w:t>
      </w:r>
      <w:r w:rsidRPr="00B22946">
        <w:rPr>
          <w:rFonts w:cs="Times New Roman"/>
          <w:szCs w:val="24"/>
        </w:rPr>
        <w:t>interaction</w:t>
      </w:r>
      <w:r w:rsidR="002F2C2C" w:rsidRPr="00B22946">
        <w:rPr>
          <w:rFonts w:cs="Times New Roman"/>
          <w:szCs w:val="24"/>
        </w:rPr>
        <w:t>s</w:t>
      </w:r>
      <w:r w:rsidRPr="00B22946">
        <w:rPr>
          <w:rFonts w:cs="Times New Roman"/>
          <w:szCs w:val="24"/>
        </w:rPr>
        <w:t xml:space="preserve"> like such as adverse drug events or noncompliance to medication treatment</w:t>
      </w:r>
      <w:r w:rsidR="00AD64F4" w:rsidRPr="00B22946">
        <w:rPr>
          <w:rFonts w:cs="Times New Roman"/>
          <w:szCs w:val="24"/>
        </w:rPr>
        <w:t xml:space="preserve"> (</w:t>
      </w:r>
      <w:r w:rsidR="002F2C2C" w:rsidRPr="00B22946">
        <w:rPr>
          <w:rFonts w:cs="Times New Roman"/>
          <w:szCs w:val="24"/>
        </w:rPr>
        <w:t xml:space="preserve">Hogg et al. 2015, </w:t>
      </w:r>
      <w:r w:rsidR="00106596" w:rsidRPr="00B22946">
        <w:rPr>
          <w:rFonts w:cs="Times New Roman"/>
          <w:szCs w:val="24"/>
        </w:rPr>
        <w:t>Fitzgerald</w:t>
      </w:r>
      <w:r w:rsidRPr="00B22946">
        <w:rPr>
          <w:rFonts w:cs="Times New Roman"/>
          <w:szCs w:val="24"/>
        </w:rPr>
        <w:t xml:space="preserve"> et al. 2009).One study in Australia showed 2% to 3% of all hospital admission</w:t>
      </w:r>
      <w:r w:rsidR="004A43BA" w:rsidRPr="00B22946">
        <w:rPr>
          <w:rFonts w:cs="Times New Roman"/>
          <w:szCs w:val="24"/>
        </w:rPr>
        <w:t>s are</w:t>
      </w:r>
      <w:r w:rsidR="00BE05BF">
        <w:rPr>
          <w:rFonts w:cs="Times New Roman"/>
          <w:szCs w:val="24"/>
        </w:rPr>
        <w:t xml:space="preserve"> </w:t>
      </w:r>
      <w:r w:rsidR="0093680D" w:rsidRPr="00B22946">
        <w:rPr>
          <w:rFonts w:cs="Times New Roman"/>
          <w:szCs w:val="24"/>
        </w:rPr>
        <w:t xml:space="preserve">caused by </w:t>
      </w:r>
      <w:r w:rsidRPr="00B22946">
        <w:rPr>
          <w:rFonts w:cs="Times New Roman"/>
          <w:szCs w:val="24"/>
        </w:rPr>
        <w:t>medication</w:t>
      </w:r>
      <w:r w:rsidR="00106596" w:rsidRPr="00B22946">
        <w:rPr>
          <w:rFonts w:cs="Times New Roman"/>
          <w:szCs w:val="24"/>
        </w:rPr>
        <w:t>(</w:t>
      </w:r>
      <w:r w:rsidRPr="00B22946">
        <w:rPr>
          <w:rFonts w:cs="Times New Roman"/>
          <w:szCs w:val="24"/>
        </w:rPr>
        <w:t>Rosenfeld et al. 2013).</w:t>
      </w:r>
      <w:r w:rsidR="00E054E1" w:rsidRPr="00B22946">
        <w:rPr>
          <w:rFonts w:cs="Times New Roman"/>
          <w:szCs w:val="24"/>
        </w:rPr>
        <w:t xml:space="preserve"> Therefore, it is imperative to have an accurate medication history during patient admission, as this could facilitate the diagnosis process and reduce on poor health outcomes for patients.</w:t>
      </w:r>
      <w:r w:rsidR="00BE05BF">
        <w:rPr>
          <w:rFonts w:cs="Times New Roman"/>
          <w:szCs w:val="24"/>
        </w:rPr>
        <w:t xml:space="preserve"> </w:t>
      </w:r>
      <w:r w:rsidRPr="00B22946">
        <w:rPr>
          <w:rFonts w:cs="Times New Roman"/>
          <w:szCs w:val="24"/>
        </w:rPr>
        <w:t>There was a significant reduction in rehospitalization rate from 11.9% to 8.3% in 30 days and from 22.5 % to 16.7% found when medication reconciliation applied during</w:t>
      </w:r>
      <w:r w:rsidR="00010BAB" w:rsidRPr="00B22946">
        <w:rPr>
          <w:rFonts w:cs="Times New Roman"/>
          <w:szCs w:val="24"/>
        </w:rPr>
        <w:t xml:space="preserve"> a</w:t>
      </w:r>
      <w:r w:rsidRPr="00B22946">
        <w:rPr>
          <w:rFonts w:cs="Times New Roman"/>
          <w:szCs w:val="24"/>
        </w:rPr>
        <w:t xml:space="preserve"> randomized control trial of 750 patients (Colon –Emeric C et al. 2010).</w:t>
      </w:r>
      <w:r w:rsidR="001C08BC" w:rsidRPr="00B22946">
        <w:rPr>
          <w:rFonts w:cs="Times New Roman"/>
          <w:szCs w:val="24"/>
        </w:rPr>
        <w:t xml:space="preserve"> This shows how erroneous medication history is a significant cause of hos</w:t>
      </w:r>
      <w:r w:rsidR="0093680D" w:rsidRPr="00B22946">
        <w:rPr>
          <w:rFonts w:cs="Times New Roman"/>
          <w:szCs w:val="24"/>
        </w:rPr>
        <w:t xml:space="preserve">pital </w:t>
      </w:r>
      <w:r w:rsidR="001C08BC" w:rsidRPr="00B22946">
        <w:rPr>
          <w:rFonts w:cs="Times New Roman"/>
          <w:szCs w:val="24"/>
        </w:rPr>
        <w:t>admissions resulting from ADRs that may have resulted from the medications given during first admission.</w:t>
      </w:r>
    </w:p>
    <w:p w:rsidR="00DE1F3E" w:rsidRPr="00B22946" w:rsidRDefault="00965572" w:rsidP="00B22946">
      <w:pPr>
        <w:spacing w:line="480" w:lineRule="auto"/>
        <w:rPr>
          <w:rFonts w:cs="Times New Roman"/>
          <w:szCs w:val="24"/>
        </w:rPr>
      </w:pPr>
      <w:r w:rsidRPr="00B22946">
        <w:rPr>
          <w:rFonts w:cs="Times New Roman"/>
          <w:szCs w:val="24"/>
        </w:rPr>
        <w:t xml:space="preserve">Accurate medication history also provides the </w:t>
      </w:r>
      <w:r w:rsidR="00DE1F3E" w:rsidRPr="00B22946">
        <w:rPr>
          <w:rFonts w:cs="Times New Roman"/>
          <w:szCs w:val="24"/>
        </w:rPr>
        <w:t>benefit in preventing prescribing errors</w:t>
      </w:r>
      <w:r w:rsidRPr="00B22946">
        <w:rPr>
          <w:rFonts w:cs="Times New Roman"/>
          <w:szCs w:val="24"/>
        </w:rPr>
        <w:t xml:space="preserve">. It helps </w:t>
      </w:r>
      <w:r w:rsidR="00DE1F3E" w:rsidRPr="00B22946">
        <w:rPr>
          <w:rFonts w:cs="Times New Roman"/>
          <w:szCs w:val="24"/>
        </w:rPr>
        <w:t>changes or masking the clinical signs as</w:t>
      </w:r>
      <w:r w:rsidRPr="00B22946">
        <w:rPr>
          <w:rFonts w:cs="Times New Roman"/>
          <w:szCs w:val="24"/>
        </w:rPr>
        <w:t xml:space="preserve">sociated with using medication. For </w:t>
      </w:r>
      <w:r w:rsidR="00DE1F3E" w:rsidRPr="00B22946">
        <w:rPr>
          <w:rFonts w:cs="Times New Roman"/>
          <w:szCs w:val="24"/>
        </w:rPr>
        <w:t>example, beta-adrenoreceptor antagonists can prevent tachycardia in a patient with hemorrhage</w:t>
      </w:r>
      <w:r w:rsidR="00FC666C">
        <w:rPr>
          <w:rFonts w:cs="Times New Roman"/>
          <w:szCs w:val="24"/>
        </w:rPr>
        <w:t xml:space="preserve"> </w:t>
      </w:r>
      <w:r w:rsidR="00DE1F3E" w:rsidRPr="00B22946">
        <w:rPr>
          <w:rFonts w:cs="Times New Roman"/>
          <w:szCs w:val="24"/>
        </w:rPr>
        <w:t>and change the examination result</w:t>
      </w:r>
      <w:r w:rsidRPr="00B22946">
        <w:rPr>
          <w:rFonts w:cs="Times New Roman"/>
          <w:szCs w:val="24"/>
        </w:rPr>
        <w:t>s</w:t>
      </w:r>
      <w:r w:rsidR="00AD64F4" w:rsidRPr="00B22946">
        <w:rPr>
          <w:rFonts w:cs="Times New Roman"/>
          <w:szCs w:val="24"/>
        </w:rPr>
        <w:t xml:space="preserve"> (Fitzgerald</w:t>
      </w:r>
      <w:r w:rsidR="00377C10" w:rsidRPr="00B22946">
        <w:rPr>
          <w:rFonts w:cs="Times New Roman"/>
          <w:szCs w:val="24"/>
        </w:rPr>
        <w:t xml:space="preserve"> et al. 2009</w:t>
      </w:r>
      <w:r w:rsidR="00DE1F3E" w:rsidRPr="00B22946">
        <w:rPr>
          <w:rFonts w:cs="Times New Roman"/>
          <w:szCs w:val="24"/>
        </w:rPr>
        <w:t>).</w:t>
      </w:r>
      <w:r w:rsidR="00C10EC5" w:rsidRPr="00B22946">
        <w:rPr>
          <w:rFonts w:cs="Times New Roman"/>
          <w:szCs w:val="24"/>
        </w:rPr>
        <w:t xml:space="preserve"> The information </w:t>
      </w:r>
      <w:r w:rsidR="00DE1F3E" w:rsidRPr="00B22946">
        <w:rPr>
          <w:rFonts w:cs="Times New Roman"/>
          <w:szCs w:val="24"/>
        </w:rPr>
        <w:t>also</w:t>
      </w:r>
      <w:r w:rsidR="004163E2" w:rsidRPr="00B22946">
        <w:rPr>
          <w:rFonts w:cs="Times New Roman"/>
          <w:szCs w:val="24"/>
        </w:rPr>
        <w:t xml:space="preserve"> helps avoid the prescription of </w:t>
      </w:r>
      <w:r w:rsidR="00DE1F3E" w:rsidRPr="00B22946">
        <w:rPr>
          <w:rFonts w:cs="Times New Roman"/>
          <w:szCs w:val="24"/>
        </w:rPr>
        <w:t>ineffective drugs</w:t>
      </w:r>
      <w:r w:rsidR="004163E2" w:rsidRPr="00B22946">
        <w:rPr>
          <w:rFonts w:cs="Times New Roman"/>
          <w:szCs w:val="24"/>
        </w:rPr>
        <w:t xml:space="preserve"> that had previously been discontinued thereby saving time and money as well as ensuring optimal medication benefits</w:t>
      </w:r>
      <w:r w:rsidR="00AD64F4" w:rsidRPr="00B22946">
        <w:rPr>
          <w:rFonts w:cs="Times New Roman"/>
          <w:szCs w:val="24"/>
        </w:rPr>
        <w:t xml:space="preserve"> (</w:t>
      </w:r>
      <w:r w:rsidR="00DE1F3E" w:rsidRPr="00B22946">
        <w:rPr>
          <w:rFonts w:cs="Times New Roman"/>
          <w:szCs w:val="24"/>
        </w:rPr>
        <w:t>Hogg et al. 2015)</w:t>
      </w:r>
      <w:r w:rsidR="00F40CF8" w:rsidRPr="00B22946">
        <w:rPr>
          <w:rFonts w:cs="Times New Roman"/>
          <w:szCs w:val="24"/>
        </w:rPr>
        <w:t>.</w:t>
      </w:r>
    </w:p>
    <w:p w:rsidR="00DE1F3E" w:rsidRPr="00B22946" w:rsidRDefault="00104E43" w:rsidP="00B22946">
      <w:pPr>
        <w:spacing w:line="480" w:lineRule="auto"/>
        <w:rPr>
          <w:rFonts w:cs="Times New Roman"/>
          <w:szCs w:val="24"/>
        </w:rPr>
      </w:pPr>
      <w:r w:rsidRPr="00B22946">
        <w:rPr>
          <w:rFonts w:cs="Times New Roman"/>
          <w:szCs w:val="24"/>
        </w:rPr>
        <w:t>The accuracy reduces the omission of current patient medication</w:t>
      </w:r>
      <w:r w:rsidR="00DE1F3E" w:rsidRPr="00B22946">
        <w:rPr>
          <w:rFonts w:cs="Times New Roman"/>
          <w:szCs w:val="24"/>
        </w:rPr>
        <w:t xml:space="preserve"> or prescribing it with the wrong dose</w:t>
      </w:r>
      <w:r w:rsidR="002378DE" w:rsidRPr="00B22946">
        <w:rPr>
          <w:rFonts w:cs="Times New Roman"/>
          <w:szCs w:val="24"/>
        </w:rPr>
        <w:t>. F</w:t>
      </w:r>
      <w:r w:rsidR="00DE1F3E" w:rsidRPr="00B22946">
        <w:rPr>
          <w:rFonts w:cs="Times New Roman"/>
          <w:szCs w:val="24"/>
        </w:rPr>
        <w:t>requency or route of administration that cause harm for patients consume more time and cost</w:t>
      </w:r>
      <w:r w:rsidR="00857645" w:rsidRPr="00B22946">
        <w:rPr>
          <w:rFonts w:cs="Times New Roman"/>
          <w:szCs w:val="24"/>
        </w:rPr>
        <w:t xml:space="preserve"> in treatment (</w:t>
      </w:r>
      <w:r w:rsidR="00106596" w:rsidRPr="00B22946">
        <w:rPr>
          <w:rFonts w:cs="Times New Roman"/>
          <w:szCs w:val="24"/>
        </w:rPr>
        <w:t xml:space="preserve">Abu </w:t>
      </w:r>
      <w:r w:rsidR="00857645" w:rsidRPr="00B22946">
        <w:rPr>
          <w:rFonts w:cs="Times New Roman"/>
          <w:szCs w:val="24"/>
        </w:rPr>
        <w:t>Yassin e</w:t>
      </w:r>
      <w:r w:rsidR="00DE1F3E" w:rsidRPr="00B22946">
        <w:rPr>
          <w:rFonts w:cs="Times New Roman"/>
          <w:szCs w:val="24"/>
        </w:rPr>
        <w:t xml:space="preserve">t </w:t>
      </w:r>
      <w:r w:rsidR="00857645" w:rsidRPr="00B22946">
        <w:rPr>
          <w:rFonts w:cs="Times New Roman"/>
          <w:szCs w:val="24"/>
        </w:rPr>
        <w:t>al. 2011</w:t>
      </w:r>
      <w:r w:rsidR="00DE1F3E" w:rsidRPr="00B22946">
        <w:rPr>
          <w:rFonts w:cs="Times New Roman"/>
          <w:szCs w:val="24"/>
        </w:rPr>
        <w:t>)</w:t>
      </w:r>
      <w:r w:rsidR="00555C45" w:rsidRPr="00B22946">
        <w:rPr>
          <w:rFonts w:cs="Times New Roman"/>
          <w:szCs w:val="24"/>
        </w:rPr>
        <w:t>.</w:t>
      </w:r>
      <w:r w:rsidR="00DA088E" w:rsidRPr="00B22946">
        <w:rPr>
          <w:rFonts w:cs="Times New Roman"/>
          <w:szCs w:val="24"/>
        </w:rPr>
        <w:t xml:space="preserve"> T</w:t>
      </w:r>
      <w:r w:rsidR="00DE1F3E" w:rsidRPr="00B22946">
        <w:rPr>
          <w:rFonts w:cs="Times New Roman"/>
          <w:szCs w:val="24"/>
        </w:rPr>
        <w:t xml:space="preserve">he result of one study carried out to assess </w:t>
      </w:r>
      <w:r w:rsidR="00DA088E" w:rsidRPr="00B22946">
        <w:rPr>
          <w:rFonts w:cs="Times New Roman"/>
          <w:szCs w:val="24"/>
        </w:rPr>
        <w:t xml:space="preserve">the effect </w:t>
      </w:r>
      <w:r w:rsidR="00DE1F3E" w:rsidRPr="00B22946">
        <w:rPr>
          <w:rFonts w:cs="Times New Roman"/>
          <w:szCs w:val="24"/>
        </w:rPr>
        <w:t>of omitted medication effect found that 3% of the exclu</w:t>
      </w:r>
      <w:r w:rsidR="00DA088E" w:rsidRPr="00B22946">
        <w:rPr>
          <w:rFonts w:cs="Times New Roman"/>
          <w:szCs w:val="24"/>
        </w:rPr>
        <w:t xml:space="preserve">ded medication had a lifesaving </w:t>
      </w:r>
      <w:r w:rsidR="00DE1F3E" w:rsidRPr="00B22946">
        <w:rPr>
          <w:rFonts w:cs="Times New Roman"/>
          <w:szCs w:val="24"/>
        </w:rPr>
        <w:t xml:space="preserve">impact for the patients and 24% of </w:t>
      </w:r>
      <w:r w:rsidR="0093680D" w:rsidRPr="00B22946">
        <w:rPr>
          <w:rFonts w:cs="Times New Roman"/>
          <w:szCs w:val="24"/>
        </w:rPr>
        <w:t xml:space="preserve">the </w:t>
      </w:r>
      <w:r w:rsidR="00DE1F3E" w:rsidRPr="00B22946">
        <w:rPr>
          <w:rFonts w:cs="Times New Roman"/>
          <w:szCs w:val="24"/>
        </w:rPr>
        <w:t>omitted drug</w:t>
      </w:r>
      <w:r w:rsidR="00514C40" w:rsidRPr="00B22946">
        <w:rPr>
          <w:rFonts w:cs="Times New Roman"/>
          <w:szCs w:val="24"/>
        </w:rPr>
        <w:t>s</w:t>
      </w:r>
      <w:r w:rsidR="000D0C73" w:rsidRPr="00B22946">
        <w:rPr>
          <w:rFonts w:cs="Times New Roman"/>
          <w:szCs w:val="24"/>
        </w:rPr>
        <w:t xml:space="preserve"> would confer</w:t>
      </w:r>
      <w:r w:rsidR="00DE1F3E" w:rsidRPr="00B22946">
        <w:rPr>
          <w:rFonts w:cs="Times New Roman"/>
          <w:szCs w:val="24"/>
        </w:rPr>
        <w:t xml:space="preserve"> a considera</w:t>
      </w:r>
      <w:r w:rsidR="00514C40" w:rsidRPr="00B22946">
        <w:rPr>
          <w:rFonts w:cs="Times New Roman"/>
          <w:szCs w:val="24"/>
        </w:rPr>
        <w:t xml:space="preserve">ble benefit </w:t>
      </w:r>
      <w:r w:rsidR="001B0E6F" w:rsidRPr="00B22946">
        <w:rPr>
          <w:rFonts w:cs="Times New Roman"/>
          <w:szCs w:val="24"/>
        </w:rPr>
        <w:t>to</w:t>
      </w:r>
      <w:r w:rsidR="00514C40" w:rsidRPr="00B22946">
        <w:rPr>
          <w:rFonts w:cs="Times New Roman"/>
          <w:szCs w:val="24"/>
        </w:rPr>
        <w:t xml:space="preserve"> the patients if </w:t>
      </w:r>
      <w:r w:rsidR="00DE1F3E" w:rsidRPr="00B22946">
        <w:rPr>
          <w:rFonts w:cs="Times New Roman"/>
          <w:szCs w:val="24"/>
        </w:rPr>
        <w:t>they receive the</w:t>
      </w:r>
      <w:r w:rsidR="00514C40" w:rsidRPr="00B22946">
        <w:rPr>
          <w:rFonts w:cs="Times New Roman"/>
          <w:szCs w:val="24"/>
        </w:rPr>
        <w:t>m</w:t>
      </w:r>
      <w:r w:rsidR="00AD64F4" w:rsidRPr="00B22946">
        <w:rPr>
          <w:rFonts w:cs="Times New Roman"/>
          <w:szCs w:val="24"/>
        </w:rPr>
        <w:t>(Tam</w:t>
      </w:r>
      <w:r w:rsidR="00DE1F3E" w:rsidRPr="00B22946">
        <w:rPr>
          <w:rFonts w:cs="Times New Roman"/>
          <w:szCs w:val="24"/>
        </w:rPr>
        <w:t xml:space="preserve"> et al. 2005)</w:t>
      </w:r>
      <w:r w:rsidR="006E4C51" w:rsidRPr="00B22946">
        <w:rPr>
          <w:rFonts w:cs="Times New Roman"/>
          <w:szCs w:val="24"/>
        </w:rPr>
        <w:t>. Medication</w:t>
      </w:r>
      <w:r w:rsidR="00DE1F3E" w:rsidRPr="00B22946">
        <w:rPr>
          <w:rFonts w:cs="Times New Roman"/>
          <w:szCs w:val="24"/>
        </w:rPr>
        <w:t xml:space="preserve"> history has particular importance in the pre-</w:t>
      </w:r>
      <w:r w:rsidR="0093680D" w:rsidRPr="00B22946">
        <w:rPr>
          <w:rFonts w:cs="Times New Roman"/>
          <w:szCs w:val="24"/>
        </w:rPr>
        <w:t xml:space="preserve">operative clinic, because </w:t>
      </w:r>
      <w:r w:rsidR="00F05412" w:rsidRPr="00B22946">
        <w:rPr>
          <w:rFonts w:cs="Times New Roman"/>
          <w:szCs w:val="24"/>
        </w:rPr>
        <w:t xml:space="preserve">it may temporarily stop </w:t>
      </w:r>
      <w:r w:rsidR="00DE1F3E" w:rsidRPr="00B22946">
        <w:rPr>
          <w:rFonts w:cs="Times New Roman"/>
          <w:szCs w:val="24"/>
        </w:rPr>
        <w:t>medication like anticoagulants and anti</w:t>
      </w:r>
      <w:r w:rsidR="00563FE7" w:rsidRPr="00B22946">
        <w:rPr>
          <w:rFonts w:cs="Times New Roman"/>
          <w:szCs w:val="24"/>
        </w:rPr>
        <w:t>-</w:t>
      </w:r>
      <w:r w:rsidR="00DE1F3E" w:rsidRPr="00B22946">
        <w:rPr>
          <w:rFonts w:cs="Times New Roman"/>
          <w:szCs w:val="24"/>
        </w:rPr>
        <w:t>platelet, preventin</w:t>
      </w:r>
      <w:r w:rsidR="002A5C63" w:rsidRPr="00B22946">
        <w:rPr>
          <w:rFonts w:cs="Times New Roman"/>
          <w:szCs w:val="24"/>
        </w:rPr>
        <w:t xml:space="preserve">g post-surgery medical problems </w:t>
      </w:r>
      <w:r w:rsidR="00AD64F4" w:rsidRPr="00B22946">
        <w:rPr>
          <w:rFonts w:cs="Times New Roman"/>
          <w:szCs w:val="24"/>
        </w:rPr>
        <w:t>(</w:t>
      </w:r>
      <w:r w:rsidR="00FD112B" w:rsidRPr="00B22946">
        <w:rPr>
          <w:rFonts w:cs="Times New Roman"/>
          <w:szCs w:val="24"/>
        </w:rPr>
        <w:t xml:space="preserve">Abu Yassin </w:t>
      </w:r>
      <w:r w:rsidR="00DE1F3E" w:rsidRPr="00B22946">
        <w:rPr>
          <w:rFonts w:cs="Times New Roman"/>
          <w:szCs w:val="24"/>
        </w:rPr>
        <w:t>et al</w:t>
      </w:r>
      <w:r w:rsidR="00FD112B" w:rsidRPr="00B22946">
        <w:rPr>
          <w:rFonts w:cs="Times New Roman"/>
          <w:szCs w:val="24"/>
        </w:rPr>
        <w:t>.</w:t>
      </w:r>
      <w:r w:rsidR="00DE1F3E" w:rsidRPr="00B22946">
        <w:rPr>
          <w:rFonts w:cs="Times New Roman"/>
          <w:szCs w:val="24"/>
        </w:rPr>
        <w:t xml:space="preserve"> 2011)</w:t>
      </w:r>
    </w:p>
    <w:p w:rsidR="00943338" w:rsidRPr="00943338" w:rsidRDefault="00943338" w:rsidP="00B22946">
      <w:pPr>
        <w:spacing w:line="480" w:lineRule="auto"/>
        <w:rPr>
          <w:rFonts w:cs="Times New Roman"/>
          <w:b/>
          <w:szCs w:val="24"/>
        </w:rPr>
      </w:pPr>
      <w:r w:rsidRPr="00943338">
        <w:rPr>
          <w:rFonts w:cs="Times New Roman"/>
          <w:b/>
          <w:szCs w:val="24"/>
        </w:rPr>
        <w:t>Sources of Patient Medication Hist</w:t>
      </w:r>
      <w:r>
        <w:rPr>
          <w:rFonts w:cs="Times New Roman"/>
          <w:b/>
          <w:szCs w:val="24"/>
        </w:rPr>
        <w:t>o</w:t>
      </w:r>
      <w:r w:rsidRPr="00943338">
        <w:rPr>
          <w:rFonts w:cs="Times New Roman"/>
          <w:b/>
          <w:szCs w:val="24"/>
        </w:rPr>
        <w:t>ry</w:t>
      </w:r>
    </w:p>
    <w:p w:rsidR="00DF55CD" w:rsidRPr="00B22946" w:rsidRDefault="00DE1F3E" w:rsidP="00B22946">
      <w:pPr>
        <w:spacing w:line="480" w:lineRule="auto"/>
        <w:rPr>
          <w:rFonts w:cs="Times New Roman"/>
          <w:szCs w:val="24"/>
        </w:rPr>
      </w:pPr>
      <w:r w:rsidRPr="00B22946">
        <w:rPr>
          <w:rFonts w:cs="Times New Roman"/>
          <w:szCs w:val="24"/>
        </w:rPr>
        <w:t xml:space="preserve">It is crucial for care professional to use more than one source of information </w:t>
      </w:r>
      <w:r w:rsidR="00E67CAC" w:rsidRPr="00B22946">
        <w:rPr>
          <w:rFonts w:cs="Times New Roman"/>
          <w:szCs w:val="24"/>
        </w:rPr>
        <w:t>f</w:t>
      </w:r>
      <w:r w:rsidRPr="00B22946">
        <w:rPr>
          <w:rFonts w:cs="Times New Roman"/>
          <w:szCs w:val="24"/>
        </w:rPr>
        <w:t>or the medication history collecting and reporting because there are benefits and</w:t>
      </w:r>
      <w:r w:rsidR="00943338">
        <w:rPr>
          <w:rFonts w:cs="Times New Roman"/>
          <w:szCs w:val="24"/>
        </w:rPr>
        <w:t xml:space="preserve"> </w:t>
      </w:r>
      <w:r w:rsidRPr="00B22946">
        <w:rPr>
          <w:rFonts w:cs="Times New Roman"/>
          <w:szCs w:val="24"/>
        </w:rPr>
        <w:t xml:space="preserve">limitations to each source of medication information that </w:t>
      </w:r>
      <w:r w:rsidR="00E67CAC" w:rsidRPr="00B22946">
        <w:rPr>
          <w:rFonts w:cs="Times New Roman"/>
          <w:szCs w:val="24"/>
        </w:rPr>
        <w:t xml:space="preserve">is </w:t>
      </w:r>
      <w:r w:rsidR="00AD64F4" w:rsidRPr="00B22946">
        <w:rPr>
          <w:rFonts w:cs="Times New Roman"/>
          <w:szCs w:val="24"/>
        </w:rPr>
        <w:t>used (</w:t>
      </w:r>
      <w:r w:rsidR="00C945B9" w:rsidRPr="00B22946">
        <w:rPr>
          <w:rFonts w:cs="Times New Roman"/>
          <w:szCs w:val="24"/>
        </w:rPr>
        <w:t>Nickless et al. 2016).</w:t>
      </w:r>
    </w:p>
    <w:p w:rsidR="00FC2ABC" w:rsidRPr="00B22946" w:rsidRDefault="00DF55CD" w:rsidP="00B22946">
      <w:pPr>
        <w:spacing w:line="480" w:lineRule="auto"/>
        <w:rPr>
          <w:rFonts w:cs="Times New Roman"/>
          <w:szCs w:val="24"/>
        </w:rPr>
      </w:pPr>
      <w:r w:rsidRPr="00B22946">
        <w:rPr>
          <w:rFonts w:cs="Times New Roman"/>
          <w:bCs/>
          <w:szCs w:val="24"/>
        </w:rPr>
        <w:t>The first source</w:t>
      </w:r>
      <w:r w:rsidR="00BD6507" w:rsidRPr="00B22946">
        <w:rPr>
          <w:rFonts w:cs="Times New Roman"/>
          <w:bCs/>
          <w:szCs w:val="24"/>
        </w:rPr>
        <w:t xml:space="preserve"> is interview to the patient, the patient’s partner, or his/her caregiver.</w:t>
      </w:r>
    </w:p>
    <w:p w:rsidR="00DE1F3E" w:rsidRPr="00B22946" w:rsidRDefault="00DE1F3E" w:rsidP="00B22946">
      <w:pPr>
        <w:spacing w:line="480" w:lineRule="auto"/>
        <w:rPr>
          <w:rFonts w:cs="Times New Roman"/>
          <w:szCs w:val="24"/>
        </w:rPr>
      </w:pPr>
      <w:r w:rsidRPr="00B22946">
        <w:rPr>
          <w:rFonts w:cs="Times New Roman"/>
          <w:szCs w:val="24"/>
        </w:rPr>
        <w:t>According to Singapore national medication reconciliation guideline 2018, the patient interview is the most reliable source to assure of the actual medication taken b</w:t>
      </w:r>
      <w:r w:rsidR="001E4E84" w:rsidRPr="00B22946">
        <w:rPr>
          <w:rFonts w:cs="Times New Roman"/>
          <w:szCs w:val="24"/>
        </w:rPr>
        <w:t>y the patient at admission time</w:t>
      </w:r>
      <w:r w:rsidRPr="00B22946">
        <w:rPr>
          <w:rFonts w:cs="Times New Roman"/>
          <w:szCs w:val="24"/>
        </w:rPr>
        <w:t xml:space="preserve"> (Ministry of Health, Singapore 2018)</w:t>
      </w:r>
      <w:r w:rsidR="001E4E84" w:rsidRPr="00B22946">
        <w:rPr>
          <w:rFonts w:cs="Times New Roman"/>
          <w:szCs w:val="24"/>
        </w:rPr>
        <w:t xml:space="preserve">. </w:t>
      </w:r>
      <w:r w:rsidRPr="00B22946">
        <w:rPr>
          <w:rFonts w:cs="Times New Roman"/>
          <w:szCs w:val="24"/>
        </w:rPr>
        <w:t>During the medication history in</w:t>
      </w:r>
      <w:r w:rsidR="006C5E9D" w:rsidRPr="00B22946">
        <w:rPr>
          <w:rFonts w:cs="Times New Roman"/>
          <w:szCs w:val="24"/>
        </w:rPr>
        <w:t xml:space="preserve">terview, the clinical pharmacists use their </w:t>
      </w:r>
      <w:r w:rsidRPr="00B22946">
        <w:rPr>
          <w:rFonts w:cs="Times New Roman"/>
          <w:szCs w:val="24"/>
        </w:rPr>
        <w:t>vast</w:t>
      </w:r>
      <w:r w:rsidR="0048253D">
        <w:rPr>
          <w:rFonts w:cs="Times New Roman"/>
          <w:szCs w:val="24"/>
        </w:rPr>
        <w:t xml:space="preserve"> </w:t>
      </w:r>
      <w:r w:rsidRPr="00B22946">
        <w:rPr>
          <w:rFonts w:cs="Times New Roman"/>
          <w:szCs w:val="24"/>
        </w:rPr>
        <w:t>experience of</w:t>
      </w:r>
      <w:r w:rsidR="0048253D">
        <w:rPr>
          <w:rFonts w:cs="Times New Roman"/>
          <w:szCs w:val="24"/>
        </w:rPr>
        <w:t xml:space="preserve"> </w:t>
      </w:r>
      <w:r w:rsidRPr="00B22946">
        <w:rPr>
          <w:rFonts w:cs="Times New Roman"/>
          <w:szCs w:val="24"/>
        </w:rPr>
        <w:t>medication name</w:t>
      </w:r>
      <w:r w:rsidR="006C5E9D" w:rsidRPr="00B22946">
        <w:rPr>
          <w:rFonts w:cs="Times New Roman"/>
          <w:szCs w:val="24"/>
        </w:rPr>
        <w:t>s</w:t>
      </w:r>
      <w:r w:rsidRPr="00B22946">
        <w:rPr>
          <w:rFonts w:cs="Times New Roman"/>
          <w:szCs w:val="24"/>
        </w:rPr>
        <w:t>, dose</w:t>
      </w:r>
      <w:r w:rsidR="006C5E9D" w:rsidRPr="00B22946">
        <w:rPr>
          <w:rFonts w:cs="Times New Roman"/>
          <w:szCs w:val="24"/>
        </w:rPr>
        <w:t>s</w:t>
      </w:r>
      <w:r w:rsidRPr="00B22946">
        <w:rPr>
          <w:rFonts w:cs="Times New Roman"/>
          <w:szCs w:val="24"/>
        </w:rPr>
        <w:t>, formulations, side effects, and drug</w:t>
      </w:r>
      <w:r w:rsidR="0048253D">
        <w:rPr>
          <w:rFonts w:cs="Times New Roman"/>
          <w:szCs w:val="24"/>
        </w:rPr>
        <w:t xml:space="preserve"> </w:t>
      </w:r>
      <w:r w:rsidRPr="00B22946">
        <w:rPr>
          <w:rFonts w:cs="Times New Roman"/>
          <w:szCs w:val="24"/>
        </w:rPr>
        <w:t>interaction to collect more accurate information about current patient medication.</w:t>
      </w:r>
      <w:r w:rsidR="0048253D">
        <w:rPr>
          <w:rFonts w:cs="Times New Roman"/>
          <w:szCs w:val="24"/>
        </w:rPr>
        <w:t xml:space="preserve"> </w:t>
      </w:r>
      <w:r w:rsidRPr="00B22946">
        <w:rPr>
          <w:rFonts w:cs="Times New Roman"/>
          <w:szCs w:val="24"/>
        </w:rPr>
        <w:t xml:space="preserve">The goal of </w:t>
      </w:r>
      <w:r w:rsidR="00205ABA" w:rsidRPr="00B22946">
        <w:rPr>
          <w:rFonts w:cs="Times New Roman"/>
          <w:szCs w:val="24"/>
        </w:rPr>
        <w:t xml:space="preserve">the </w:t>
      </w:r>
      <w:r w:rsidRPr="00B22946">
        <w:rPr>
          <w:rFonts w:cs="Times New Roman"/>
          <w:szCs w:val="24"/>
        </w:rPr>
        <w:t>medication history interview is to obtain comprehensive information about</w:t>
      </w:r>
      <w:r w:rsidR="0048253D">
        <w:rPr>
          <w:rFonts w:cs="Times New Roman"/>
          <w:szCs w:val="24"/>
        </w:rPr>
        <w:t xml:space="preserve"> </w:t>
      </w:r>
      <w:r w:rsidRPr="00B22946">
        <w:rPr>
          <w:rFonts w:cs="Times New Roman"/>
          <w:szCs w:val="24"/>
        </w:rPr>
        <w:t>the current patient medications that will help to estimate total patient care treatment.</w:t>
      </w:r>
      <w:r w:rsidR="00B025C8" w:rsidRPr="00B22946">
        <w:rPr>
          <w:rFonts w:cs="Times New Roman"/>
          <w:szCs w:val="24"/>
        </w:rPr>
        <w:t xml:space="preserve"> The collected information is useful in the following ways:</w:t>
      </w:r>
    </w:p>
    <w:p w:rsidR="003A454F" w:rsidRPr="00B22946" w:rsidRDefault="00B025C8" w:rsidP="00B22946">
      <w:pPr>
        <w:pStyle w:val="ListParagraph"/>
        <w:numPr>
          <w:ilvl w:val="0"/>
          <w:numId w:val="34"/>
        </w:numPr>
        <w:spacing w:line="480" w:lineRule="auto"/>
        <w:rPr>
          <w:rFonts w:cs="Times New Roman"/>
          <w:szCs w:val="24"/>
        </w:rPr>
      </w:pPr>
      <w:r w:rsidRPr="00B22946">
        <w:rPr>
          <w:rFonts w:cs="Times New Roman"/>
          <w:szCs w:val="24"/>
        </w:rPr>
        <w:t>C</w:t>
      </w:r>
      <w:r w:rsidR="00DE1F3E" w:rsidRPr="00B22946">
        <w:rPr>
          <w:rFonts w:cs="Times New Roman"/>
          <w:szCs w:val="24"/>
        </w:rPr>
        <w:t>ompar</w:t>
      </w:r>
      <w:r w:rsidRPr="00B22946">
        <w:rPr>
          <w:rFonts w:cs="Times New Roman"/>
          <w:szCs w:val="24"/>
        </w:rPr>
        <w:t>ing</w:t>
      </w:r>
      <w:r w:rsidR="00DE1F3E" w:rsidRPr="00B22946">
        <w:rPr>
          <w:rFonts w:cs="Times New Roman"/>
          <w:szCs w:val="24"/>
        </w:rPr>
        <w:t xml:space="preserve"> the medication history taken from the patient with </w:t>
      </w:r>
      <w:r w:rsidR="00FA4DCD" w:rsidRPr="00B22946">
        <w:rPr>
          <w:rFonts w:cs="Times New Roman"/>
          <w:szCs w:val="24"/>
        </w:rPr>
        <w:t xml:space="preserve">the </w:t>
      </w:r>
      <w:r w:rsidR="00DE1F3E" w:rsidRPr="00B22946">
        <w:rPr>
          <w:rFonts w:cs="Times New Roman"/>
          <w:szCs w:val="24"/>
        </w:rPr>
        <w:t>admit</w:t>
      </w:r>
      <w:r w:rsidR="00FA4DCD" w:rsidRPr="00B22946">
        <w:rPr>
          <w:rFonts w:cs="Times New Roman"/>
          <w:szCs w:val="24"/>
        </w:rPr>
        <w:t>ting medication orders and analyzing the</w:t>
      </w:r>
      <w:r w:rsidR="00DE1F3E" w:rsidRPr="00B22946">
        <w:rPr>
          <w:rFonts w:cs="Times New Roman"/>
          <w:szCs w:val="24"/>
        </w:rPr>
        <w:t xml:space="preserve"> discrepancies with the medication prescribed.</w:t>
      </w:r>
    </w:p>
    <w:p w:rsidR="00ED45FD" w:rsidRPr="00B22946" w:rsidRDefault="003A454F" w:rsidP="00B22946">
      <w:pPr>
        <w:pStyle w:val="ListParagraph"/>
        <w:numPr>
          <w:ilvl w:val="0"/>
          <w:numId w:val="34"/>
        </w:numPr>
        <w:spacing w:line="480" w:lineRule="auto"/>
        <w:rPr>
          <w:rFonts w:cs="Times New Roman"/>
          <w:szCs w:val="24"/>
        </w:rPr>
      </w:pPr>
      <w:r w:rsidRPr="00B22946">
        <w:rPr>
          <w:rFonts w:cs="Times New Roman"/>
          <w:szCs w:val="24"/>
        </w:rPr>
        <w:t>C</w:t>
      </w:r>
      <w:r w:rsidR="00DE1F3E" w:rsidRPr="00B22946">
        <w:rPr>
          <w:rFonts w:cs="Times New Roman"/>
          <w:szCs w:val="24"/>
        </w:rPr>
        <w:t xml:space="preserve">hecking any difference between </w:t>
      </w:r>
      <w:r w:rsidR="002646A7" w:rsidRPr="00B22946">
        <w:rPr>
          <w:rFonts w:cs="Times New Roman"/>
          <w:szCs w:val="24"/>
        </w:rPr>
        <w:t xml:space="preserve">the </w:t>
      </w:r>
      <w:r w:rsidR="00DE1F3E" w:rsidRPr="00B22946">
        <w:rPr>
          <w:rFonts w:cs="Times New Roman"/>
          <w:szCs w:val="24"/>
        </w:rPr>
        <w:t xml:space="preserve">history taken from the </w:t>
      </w:r>
      <w:r w:rsidR="002646A7" w:rsidRPr="00B22946">
        <w:rPr>
          <w:rFonts w:cs="Times New Roman"/>
          <w:szCs w:val="24"/>
        </w:rPr>
        <w:t xml:space="preserve">patient and </w:t>
      </w:r>
      <w:r w:rsidR="005A0E54" w:rsidRPr="00B22946">
        <w:rPr>
          <w:rFonts w:cs="Times New Roman"/>
          <w:szCs w:val="24"/>
        </w:rPr>
        <w:t>the</w:t>
      </w:r>
      <w:r w:rsidR="00E70F01">
        <w:rPr>
          <w:rFonts w:cs="Times New Roman"/>
          <w:szCs w:val="24"/>
        </w:rPr>
        <w:t xml:space="preserve"> </w:t>
      </w:r>
      <w:r w:rsidRPr="00B22946">
        <w:rPr>
          <w:rFonts w:cs="Times New Roman"/>
          <w:szCs w:val="24"/>
        </w:rPr>
        <w:t xml:space="preserve">information </w:t>
      </w:r>
      <w:r w:rsidR="00DE1F3E" w:rsidRPr="00B22946">
        <w:rPr>
          <w:rFonts w:cs="Times New Roman"/>
          <w:szCs w:val="24"/>
        </w:rPr>
        <w:t>tak</w:t>
      </w:r>
      <w:r w:rsidRPr="00B22946">
        <w:rPr>
          <w:rFonts w:cs="Times New Roman"/>
          <w:szCs w:val="24"/>
        </w:rPr>
        <w:t xml:space="preserve">en from his/her partner or </w:t>
      </w:r>
      <w:r w:rsidR="009B721E" w:rsidRPr="00B22946">
        <w:rPr>
          <w:rFonts w:cs="Times New Roman"/>
          <w:szCs w:val="24"/>
        </w:rPr>
        <w:t xml:space="preserve">a </w:t>
      </w:r>
      <w:r w:rsidRPr="00B22946">
        <w:rPr>
          <w:rFonts w:cs="Times New Roman"/>
          <w:szCs w:val="24"/>
        </w:rPr>
        <w:t>past caregive</w:t>
      </w:r>
      <w:r w:rsidR="002646A7" w:rsidRPr="00B22946">
        <w:rPr>
          <w:rFonts w:cs="Times New Roman"/>
          <w:szCs w:val="24"/>
        </w:rPr>
        <w:t>r</w:t>
      </w:r>
      <w:r w:rsidR="00DE1F3E" w:rsidRPr="00B22946">
        <w:rPr>
          <w:rFonts w:cs="Times New Roman"/>
          <w:szCs w:val="24"/>
        </w:rPr>
        <w:t>.</w:t>
      </w:r>
    </w:p>
    <w:p w:rsidR="009B721E" w:rsidRPr="00B22946" w:rsidRDefault="00ED45FD" w:rsidP="00B22946">
      <w:pPr>
        <w:pStyle w:val="ListParagraph"/>
        <w:numPr>
          <w:ilvl w:val="0"/>
          <w:numId w:val="34"/>
        </w:numPr>
        <w:spacing w:line="480" w:lineRule="auto"/>
        <w:rPr>
          <w:rFonts w:cs="Times New Roman"/>
          <w:szCs w:val="24"/>
        </w:rPr>
      </w:pPr>
      <w:r w:rsidRPr="00B22946">
        <w:rPr>
          <w:rFonts w:cs="Times New Roman"/>
          <w:szCs w:val="24"/>
        </w:rPr>
        <w:t>Report</w:t>
      </w:r>
      <w:r w:rsidR="00C5134A" w:rsidRPr="00B22946">
        <w:rPr>
          <w:rFonts w:cs="Times New Roman"/>
          <w:szCs w:val="24"/>
        </w:rPr>
        <w:t>ing allergies and ADRs</w:t>
      </w:r>
    </w:p>
    <w:p w:rsidR="00F22542" w:rsidRPr="00B22946" w:rsidRDefault="009B721E" w:rsidP="00B22946">
      <w:pPr>
        <w:pStyle w:val="ListParagraph"/>
        <w:numPr>
          <w:ilvl w:val="0"/>
          <w:numId w:val="34"/>
        </w:numPr>
        <w:spacing w:line="480" w:lineRule="auto"/>
        <w:rPr>
          <w:rFonts w:cs="Times New Roman"/>
          <w:szCs w:val="24"/>
        </w:rPr>
      </w:pPr>
      <w:r w:rsidRPr="00B22946">
        <w:rPr>
          <w:rFonts w:cs="Times New Roman"/>
          <w:szCs w:val="24"/>
        </w:rPr>
        <w:t>A</w:t>
      </w:r>
      <w:r w:rsidR="00DE1F3E" w:rsidRPr="00B22946">
        <w:rPr>
          <w:rFonts w:cs="Times New Roman"/>
          <w:szCs w:val="24"/>
        </w:rPr>
        <w:t>sses</w:t>
      </w:r>
      <w:r w:rsidRPr="00B22946">
        <w:rPr>
          <w:rFonts w:cs="Times New Roman"/>
          <w:szCs w:val="24"/>
        </w:rPr>
        <w:t>sing</w:t>
      </w:r>
      <w:r w:rsidR="00DE1F3E" w:rsidRPr="00B22946">
        <w:rPr>
          <w:rFonts w:cs="Times New Roman"/>
          <w:szCs w:val="24"/>
        </w:rPr>
        <w:t xml:space="preserve"> patien</w:t>
      </w:r>
      <w:r w:rsidR="00F22542" w:rsidRPr="00B22946">
        <w:rPr>
          <w:rFonts w:cs="Times New Roman"/>
          <w:szCs w:val="24"/>
        </w:rPr>
        <w:t xml:space="preserve">t adherence to </w:t>
      </w:r>
      <w:r w:rsidR="002A5C63" w:rsidRPr="00B22946">
        <w:rPr>
          <w:rFonts w:cs="Times New Roman"/>
          <w:szCs w:val="24"/>
        </w:rPr>
        <w:t>their</w:t>
      </w:r>
      <w:r w:rsidR="00F22542" w:rsidRPr="00B22946">
        <w:rPr>
          <w:rFonts w:cs="Times New Roman"/>
          <w:szCs w:val="24"/>
        </w:rPr>
        <w:t xml:space="preserve"> prescriptions</w:t>
      </w:r>
    </w:p>
    <w:p w:rsidR="00F22542" w:rsidRPr="00B22946" w:rsidRDefault="00F22542" w:rsidP="00B22946">
      <w:pPr>
        <w:pStyle w:val="ListParagraph"/>
        <w:numPr>
          <w:ilvl w:val="0"/>
          <w:numId w:val="34"/>
        </w:numPr>
        <w:spacing w:line="480" w:lineRule="auto"/>
        <w:rPr>
          <w:rFonts w:cs="Times New Roman"/>
          <w:szCs w:val="24"/>
        </w:rPr>
      </w:pPr>
      <w:r w:rsidRPr="00B22946">
        <w:rPr>
          <w:rFonts w:cs="Times New Roman"/>
          <w:szCs w:val="24"/>
        </w:rPr>
        <w:t>A</w:t>
      </w:r>
      <w:r w:rsidR="00DE1F3E" w:rsidRPr="00B22946">
        <w:rPr>
          <w:rFonts w:cs="Times New Roman"/>
          <w:szCs w:val="24"/>
        </w:rPr>
        <w:t>ssess</w:t>
      </w:r>
      <w:r w:rsidRPr="00B22946">
        <w:rPr>
          <w:rFonts w:cs="Times New Roman"/>
          <w:szCs w:val="24"/>
        </w:rPr>
        <w:t>ing</w:t>
      </w:r>
      <w:r w:rsidR="00DE1F3E" w:rsidRPr="00B22946">
        <w:rPr>
          <w:rFonts w:cs="Times New Roman"/>
          <w:szCs w:val="24"/>
        </w:rPr>
        <w:t xml:space="preserve"> the reasons for </w:t>
      </w:r>
      <w:r w:rsidRPr="00B22946">
        <w:rPr>
          <w:rFonts w:cs="Times New Roman"/>
          <w:szCs w:val="24"/>
        </w:rPr>
        <w:t xml:space="preserve">the </w:t>
      </w:r>
      <w:r w:rsidR="00DE1F3E" w:rsidRPr="00B22946">
        <w:rPr>
          <w:rFonts w:cs="Times New Roman"/>
          <w:szCs w:val="24"/>
        </w:rPr>
        <w:t>drugs prescribed</w:t>
      </w:r>
    </w:p>
    <w:p w:rsidR="00F22542" w:rsidRPr="00B22946" w:rsidRDefault="00F22542" w:rsidP="00B22946">
      <w:pPr>
        <w:pStyle w:val="ListParagraph"/>
        <w:numPr>
          <w:ilvl w:val="0"/>
          <w:numId w:val="34"/>
        </w:numPr>
        <w:spacing w:line="480" w:lineRule="auto"/>
        <w:rPr>
          <w:rFonts w:cs="Times New Roman"/>
          <w:szCs w:val="24"/>
        </w:rPr>
      </w:pPr>
      <w:r w:rsidRPr="00B22946">
        <w:rPr>
          <w:rFonts w:cs="Times New Roman"/>
          <w:szCs w:val="24"/>
        </w:rPr>
        <w:t>A</w:t>
      </w:r>
      <w:r w:rsidR="00DE1F3E" w:rsidRPr="00B22946">
        <w:rPr>
          <w:rFonts w:cs="Times New Roman"/>
          <w:szCs w:val="24"/>
        </w:rPr>
        <w:t>ssess</w:t>
      </w:r>
      <w:r w:rsidRPr="00B22946">
        <w:rPr>
          <w:rFonts w:cs="Times New Roman"/>
          <w:szCs w:val="24"/>
        </w:rPr>
        <w:t>ing any e</w:t>
      </w:r>
      <w:r w:rsidR="00DE1F3E" w:rsidRPr="00B22946">
        <w:rPr>
          <w:rFonts w:cs="Times New Roman"/>
          <w:szCs w:val="24"/>
        </w:rPr>
        <w:t>vidence of drug abuse</w:t>
      </w:r>
    </w:p>
    <w:p w:rsidR="00BF7194" w:rsidRPr="00B22946" w:rsidRDefault="00F22542" w:rsidP="00B22946">
      <w:pPr>
        <w:pStyle w:val="ListParagraph"/>
        <w:numPr>
          <w:ilvl w:val="0"/>
          <w:numId w:val="34"/>
        </w:numPr>
        <w:spacing w:line="480" w:lineRule="auto"/>
        <w:rPr>
          <w:rFonts w:cs="Times New Roman"/>
          <w:szCs w:val="24"/>
        </w:rPr>
      </w:pPr>
      <w:r w:rsidRPr="00B22946">
        <w:rPr>
          <w:rFonts w:cs="Times New Roman"/>
          <w:szCs w:val="24"/>
        </w:rPr>
        <w:t>Establishing</w:t>
      </w:r>
      <w:r w:rsidR="00DE1F3E" w:rsidRPr="00B22946">
        <w:rPr>
          <w:rFonts w:cs="Times New Roman"/>
          <w:szCs w:val="24"/>
        </w:rPr>
        <w:t xml:space="preserve"> medication</w:t>
      </w:r>
      <w:r w:rsidRPr="00B22946">
        <w:rPr>
          <w:rFonts w:cs="Times New Roman"/>
          <w:szCs w:val="24"/>
        </w:rPr>
        <w:t>s</w:t>
      </w:r>
      <w:r w:rsidR="00DE1F3E" w:rsidRPr="00B22946">
        <w:rPr>
          <w:rFonts w:cs="Times New Roman"/>
          <w:szCs w:val="24"/>
        </w:rPr>
        <w:t xml:space="preserve"> rout</w:t>
      </w:r>
      <w:r w:rsidRPr="00B22946">
        <w:rPr>
          <w:rFonts w:cs="Times New Roman"/>
          <w:szCs w:val="24"/>
        </w:rPr>
        <w:t>e</w:t>
      </w:r>
      <w:r w:rsidR="00522308" w:rsidRPr="00B22946">
        <w:rPr>
          <w:rFonts w:cs="Times New Roman"/>
          <w:szCs w:val="24"/>
        </w:rPr>
        <w:t>s</w:t>
      </w:r>
      <w:r w:rsidR="00DE1F3E" w:rsidRPr="00B22946">
        <w:rPr>
          <w:rFonts w:cs="Times New Roman"/>
          <w:szCs w:val="24"/>
        </w:rPr>
        <w:t xml:space="preserve"> of administrations</w:t>
      </w:r>
    </w:p>
    <w:p w:rsidR="00DE1F3E" w:rsidRPr="00B22946" w:rsidRDefault="00BF7194" w:rsidP="00B22946">
      <w:pPr>
        <w:pStyle w:val="ListParagraph"/>
        <w:numPr>
          <w:ilvl w:val="0"/>
          <w:numId w:val="34"/>
        </w:numPr>
        <w:spacing w:line="480" w:lineRule="auto"/>
        <w:rPr>
          <w:rFonts w:cs="Times New Roman"/>
          <w:szCs w:val="24"/>
        </w:rPr>
      </w:pPr>
      <w:r w:rsidRPr="00B22946">
        <w:rPr>
          <w:rFonts w:cs="Times New Roman"/>
          <w:szCs w:val="24"/>
        </w:rPr>
        <w:t>Examining</w:t>
      </w:r>
      <w:r w:rsidR="00DE1F3E" w:rsidRPr="00B22946">
        <w:rPr>
          <w:rFonts w:cs="Times New Roman"/>
          <w:szCs w:val="24"/>
        </w:rPr>
        <w:t xml:space="preserve"> the n</w:t>
      </w:r>
      <w:r w:rsidR="00970AEB" w:rsidRPr="00B22946">
        <w:rPr>
          <w:rFonts w:cs="Times New Roman"/>
          <w:szCs w:val="24"/>
        </w:rPr>
        <w:t>eeds for medication assistance</w:t>
      </w:r>
    </w:p>
    <w:p w:rsidR="00DE1F3E" w:rsidRPr="00B22946" w:rsidRDefault="00DE1F3E" w:rsidP="00B22946">
      <w:pPr>
        <w:pStyle w:val="Heading3"/>
        <w:spacing w:line="480" w:lineRule="auto"/>
        <w:rPr>
          <w:rFonts w:ascii="Times New Roman" w:hAnsi="Times New Roman" w:cs="Times New Roman"/>
          <w:color w:val="auto"/>
          <w:szCs w:val="24"/>
        </w:rPr>
      </w:pPr>
      <w:bookmarkStart w:id="1" w:name="_Toc15143755"/>
      <w:r w:rsidRPr="00B22946">
        <w:rPr>
          <w:rFonts w:ascii="Times New Roman" w:hAnsi="Times New Roman" w:cs="Times New Roman"/>
          <w:color w:val="auto"/>
          <w:szCs w:val="24"/>
        </w:rPr>
        <w:t xml:space="preserve">Steps </w:t>
      </w:r>
      <w:r w:rsidR="00FF7DDB" w:rsidRPr="00B22946">
        <w:rPr>
          <w:rFonts w:ascii="Times New Roman" w:hAnsi="Times New Roman" w:cs="Times New Roman"/>
          <w:color w:val="auto"/>
          <w:szCs w:val="24"/>
        </w:rPr>
        <w:t>in the Patient Interview</w:t>
      </w:r>
      <w:bookmarkEnd w:id="1"/>
    </w:p>
    <w:p w:rsidR="00F432B7" w:rsidRPr="00B22946" w:rsidRDefault="00981D50" w:rsidP="00F432B7">
      <w:pPr>
        <w:spacing w:line="480" w:lineRule="auto"/>
        <w:rPr>
          <w:rFonts w:cs="Times New Roman"/>
          <w:szCs w:val="24"/>
        </w:rPr>
      </w:pPr>
      <w:r w:rsidRPr="00B22946">
        <w:rPr>
          <w:rFonts w:cs="Times New Roman"/>
          <w:szCs w:val="24"/>
        </w:rPr>
        <w:t xml:space="preserve">Before the health </w:t>
      </w:r>
      <w:r w:rsidR="00DE1F3E" w:rsidRPr="00B22946">
        <w:rPr>
          <w:rFonts w:cs="Times New Roman"/>
          <w:szCs w:val="24"/>
        </w:rPr>
        <w:t>care profes</w:t>
      </w:r>
      <w:r w:rsidRPr="00B22946">
        <w:rPr>
          <w:rFonts w:cs="Times New Roman"/>
          <w:szCs w:val="24"/>
        </w:rPr>
        <w:t>sional can interview a patient, it is imperative</w:t>
      </w:r>
      <w:r w:rsidR="00DE1F3E" w:rsidRPr="00B22946">
        <w:rPr>
          <w:rFonts w:cs="Times New Roman"/>
          <w:szCs w:val="24"/>
        </w:rPr>
        <w:t xml:space="preserve"> to review </w:t>
      </w:r>
      <w:r w:rsidRPr="00B22946">
        <w:rPr>
          <w:rFonts w:cs="Times New Roman"/>
          <w:szCs w:val="24"/>
        </w:rPr>
        <w:t xml:space="preserve">the </w:t>
      </w:r>
      <w:r w:rsidR="00DE1F3E" w:rsidRPr="00B22946">
        <w:rPr>
          <w:rFonts w:cs="Times New Roman"/>
          <w:szCs w:val="24"/>
        </w:rPr>
        <w:t>patient</w:t>
      </w:r>
      <w:r w:rsidRPr="00B22946">
        <w:rPr>
          <w:rFonts w:cs="Times New Roman"/>
          <w:szCs w:val="24"/>
        </w:rPr>
        <w:t>’s</w:t>
      </w:r>
      <w:r w:rsidR="00DE1F3E" w:rsidRPr="00B22946">
        <w:rPr>
          <w:rFonts w:cs="Times New Roman"/>
          <w:szCs w:val="24"/>
        </w:rPr>
        <w:t xml:space="preserve"> health and social background that will help in determining medication-related problems and</w:t>
      </w:r>
      <w:r w:rsidR="000333A9" w:rsidRPr="00B22946">
        <w:rPr>
          <w:rFonts w:cs="Times New Roman"/>
          <w:szCs w:val="24"/>
        </w:rPr>
        <w:t xml:space="preserve"> establish the </w:t>
      </w:r>
      <w:r w:rsidR="00DE1F3E" w:rsidRPr="00B22946">
        <w:rPr>
          <w:rFonts w:cs="Times New Roman"/>
          <w:szCs w:val="24"/>
        </w:rPr>
        <w:t xml:space="preserve">critical objectives </w:t>
      </w:r>
      <w:r w:rsidR="000333A9" w:rsidRPr="00B22946">
        <w:rPr>
          <w:rFonts w:cs="Times New Roman"/>
          <w:szCs w:val="24"/>
        </w:rPr>
        <w:t>that the</w:t>
      </w:r>
      <w:r w:rsidR="00DE1F3E" w:rsidRPr="00B22946">
        <w:rPr>
          <w:rFonts w:cs="Times New Roman"/>
          <w:szCs w:val="24"/>
        </w:rPr>
        <w:t xml:space="preserve"> care professional</w:t>
      </w:r>
      <w:r w:rsidR="000333A9" w:rsidRPr="00B22946">
        <w:rPr>
          <w:rFonts w:cs="Times New Roman"/>
          <w:szCs w:val="24"/>
        </w:rPr>
        <w:t xml:space="preserve"> may</w:t>
      </w:r>
      <w:r w:rsidR="00DE1F3E" w:rsidRPr="00B22946">
        <w:rPr>
          <w:rFonts w:cs="Times New Roman"/>
          <w:szCs w:val="24"/>
        </w:rPr>
        <w:t xml:space="preserve"> need to target during the</w:t>
      </w:r>
      <w:r w:rsidR="00B065E5">
        <w:rPr>
          <w:rFonts w:cs="Times New Roman"/>
          <w:szCs w:val="24"/>
        </w:rPr>
        <w:t xml:space="preserve"> </w:t>
      </w:r>
      <w:r w:rsidR="00DE1F3E" w:rsidRPr="00B22946">
        <w:rPr>
          <w:rFonts w:cs="Times New Roman"/>
          <w:szCs w:val="24"/>
        </w:rPr>
        <w:t>interview</w:t>
      </w:r>
      <w:r w:rsidR="00CA170B" w:rsidRPr="00B22946">
        <w:rPr>
          <w:rFonts w:cs="Times New Roman"/>
          <w:szCs w:val="24"/>
        </w:rPr>
        <w:t>. V</w:t>
      </w:r>
      <w:r w:rsidR="00DE1F3E" w:rsidRPr="00B22946">
        <w:rPr>
          <w:rFonts w:cs="Times New Roman"/>
          <w:szCs w:val="24"/>
        </w:rPr>
        <w:t>erify if th</w:t>
      </w:r>
      <w:r w:rsidR="00CA170B" w:rsidRPr="00B22946">
        <w:rPr>
          <w:rFonts w:cs="Times New Roman"/>
          <w:szCs w:val="24"/>
        </w:rPr>
        <w:t xml:space="preserve">e patient is responsible for </w:t>
      </w:r>
      <w:r w:rsidR="004D703B" w:rsidRPr="00B22946">
        <w:rPr>
          <w:rFonts w:cs="Times New Roman"/>
          <w:szCs w:val="24"/>
        </w:rPr>
        <w:t>his or her medication management and his or her ability to communicate or if there is another health caregiver</w:t>
      </w:r>
      <w:r w:rsidR="000C4DCD">
        <w:rPr>
          <w:rFonts w:cs="Times New Roman"/>
          <w:szCs w:val="24"/>
        </w:rPr>
        <w:t>.</w:t>
      </w:r>
      <w:r w:rsidR="00B065E5">
        <w:rPr>
          <w:rFonts w:cs="Times New Roman"/>
          <w:szCs w:val="24"/>
        </w:rPr>
        <w:t xml:space="preserve"> </w:t>
      </w:r>
      <w:r w:rsidR="00F432B7" w:rsidRPr="00B22946">
        <w:rPr>
          <w:rFonts w:cs="Times New Roman"/>
          <w:szCs w:val="24"/>
        </w:rPr>
        <w:t>Using the previously prepared standard list for patient medication list is essential to ensure collection of all the necessary data. This list is outlined in the table below.</w:t>
      </w:r>
    </w:p>
    <w:p w:rsidR="005C62E1" w:rsidRPr="005C62E1" w:rsidRDefault="005C62E1" w:rsidP="005C62E1">
      <w:pPr>
        <w:pStyle w:val="Caption"/>
        <w:keepNext/>
        <w:rPr>
          <w:color w:val="000000" w:themeColor="text1"/>
        </w:rPr>
      </w:pPr>
      <w:r w:rsidRPr="005C62E1">
        <w:rPr>
          <w:color w:val="000000" w:themeColor="text1"/>
        </w:rPr>
        <w:t xml:space="preserve">Table </w:t>
      </w:r>
      <w:r w:rsidR="00492711" w:rsidRPr="005C62E1">
        <w:rPr>
          <w:color w:val="000000" w:themeColor="text1"/>
        </w:rPr>
        <w:fldChar w:fldCharType="begin"/>
      </w:r>
      <w:r w:rsidRPr="005C62E1">
        <w:rPr>
          <w:color w:val="000000" w:themeColor="text1"/>
        </w:rPr>
        <w:instrText xml:space="preserve"> SEQ Table \* ARABIC </w:instrText>
      </w:r>
      <w:r w:rsidR="00492711" w:rsidRPr="005C62E1">
        <w:rPr>
          <w:color w:val="000000" w:themeColor="text1"/>
        </w:rPr>
        <w:fldChar w:fldCharType="separate"/>
      </w:r>
      <w:r w:rsidR="00BD2C1F">
        <w:rPr>
          <w:noProof/>
          <w:color w:val="000000" w:themeColor="text1"/>
        </w:rPr>
        <w:t>1</w:t>
      </w:r>
      <w:r w:rsidR="00492711" w:rsidRPr="005C62E1">
        <w:rPr>
          <w:color w:val="000000" w:themeColor="text1"/>
        </w:rPr>
        <w:fldChar w:fldCharType="end"/>
      </w:r>
      <w:r w:rsidRPr="005C62E1">
        <w:rPr>
          <w:color w:val="000000" w:themeColor="text1"/>
        </w:rPr>
        <w:t>: Standard list of patients’ medication</w:t>
      </w:r>
    </w:p>
    <w:p w:rsidR="005C62E1" w:rsidRPr="005C62E1" w:rsidRDefault="005C62E1" w:rsidP="005C62E1"/>
    <w:tbl>
      <w:tblPr>
        <w:tblStyle w:val="LightShading-Accent11"/>
        <w:tblpPr w:leftFromText="180" w:rightFromText="180" w:vertAnchor="text" w:horzAnchor="margin" w:tblpX="-185" w:tblpY="-77"/>
        <w:tblW w:w="8680" w:type="dxa"/>
        <w:tblLook w:val="04A0"/>
      </w:tblPr>
      <w:tblGrid>
        <w:gridCol w:w="4437"/>
        <w:gridCol w:w="4243"/>
      </w:tblGrid>
      <w:tr w:rsidR="002A5C63" w:rsidRPr="00F432B7" w:rsidTr="000C4DCD">
        <w:trPr>
          <w:cnfStyle w:val="100000000000"/>
          <w:trHeight w:val="980"/>
        </w:trPr>
        <w:tc>
          <w:tcPr>
            <w:cnfStyle w:val="001000000000"/>
            <w:tcW w:w="4437" w:type="dxa"/>
          </w:tcPr>
          <w:p w:rsidR="002A5C63" w:rsidRPr="00F432B7" w:rsidRDefault="002A5C63" w:rsidP="00B22946">
            <w:pPr>
              <w:spacing w:line="480" w:lineRule="auto"/>
              <w:jc w:val="center"/>
              <w:rPr>
                <w:rFonts w:cs="Times New Roman"/>
                <w:b w:val="0"/>
                <w:color w:val="000000" w:themeColor="text1"/>
                <w:szCs w:val="24"/>
              </w:rPr>
            </w:pPr>
            <w:r w:rsidRPr="00F432B7">
              <w:rPr>
                <w:rFonts w:cs="Times New Roman"/>
                <w:b w:val="0"/>
                <w:color w:val="000000" w:themeColor="text1"/>
                <w:szCs w:val="24"/>
              </w:rPr>
              <w:t>Standard list</w:t>
            </w:r>
          </w:p>
        </w:tc>
        <w:tc>
          <w:tcPr>
            <w:tcW w:w="4243" w:type="dxa"/>
          </w:tcPr>
          <w:p w:rsidR="002A5C63" w:rsidRPr="00F432B7" w:rsidRDefault="002A5C63" w:rsidP="00B22946">
            <w:pPr>
              <w:spacing w:line="480" w:lineRule="auto"/>
              <w:jc w:val="center"/>
              <w:cnfStyle w:val="100000000000"/>
              <w:rPr>
                <w:rFonts w:cs="Times New Roman"/>
                <w:b w:val="0"/>
                <w:color w:val="000000" w:themeColor="text1"/>
                <w:szCs w:val="24"/>
              </w:rPr>
            </w:pPr>
            <w:r w:rsidRPr="00F432B7">
              <w:rPr>
                <w:rFonts w:cs="Times New Roman"/>
                <w:b w:val="0"/>
                <w:color w:val="000000" w:themeColor="text1"/>
                <w:szCs w:val="24"/>
              </w:rPr>
              <w:t>Description</w:t>
            </w:r>
          </w:p>
        </w:tc>
      </w:tr>
      <w:tr w:rsidR="002A5C63" w:rsidRPr="00F432B7" w:rsidTr="000C4DCD">
        <w:trPr>
          <w:cnfStyle w:val="000000100000"/>
          <w:trHeight w:val="4400"/>
        </w:trPr>
        <w:tc>
          <w:tcPr>
            <w:cnfStyle w:val="00100000000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Currently prescribed medication (medications that the patient is instructed to take by the prescriber)</w:t>
            </w:r>
          </w:p>
        </w:tc>
        <w:tc>
          <w:tcPr>
            <w:tcW w:w="4243" w:type="dxa"/>
          </w:tcPr>
          <w:p w:rsidR="002A5C63" w:rsidRPr="00F432B7" w:rsidRDefault="002A5C63" w:rsidP="00B22946">
            <w:pPr>
              <w:spacing w:line="480" w:lineRule="auto"/>
              <w:cnfStyle w:val="000000100000"/>
              <w:rPr>
                <w:rFonts w:cs="Times New Roman"/>
                <w:color w:val="000000" w:themeColor="text1"/>
                <w:szCs w:val="24"/>
              </w:rPr>
            </w:pPr>
            <w:r w:rsidRPr="00F432B7">
              <w:rPr>
                <w:rFonts w:cs="Times New Roman"/>
                <w:color w:val="000000" w:themeColor="text1"/>
                <w:szCs w:val="24"/>
              </w:rPr>
              <w:t>Helps the health care professional to know if the medication is taken correctly or not and if the admission is related to medication or not; this knowledge is essential to guide the admitting doctor to continue maintenance drugs during hospitalization without interaction with new acute medications.</w:t>
            </w:r>
          </w:p>
        </w:tc>
      </w:tr>
      <w:tr w:rsidR="002A5C63" w:rsidRPr="00F432B7" w:rsidTr="000C4DCD">
        <w:tc>
          <w:tcPr>
            <w:cnfStyle w:val="00100000000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Over-the-counter (OTC) medication</w:t>
            </w:r>
          </w:p>
        </w:tc>
        <w:tc>
          <w:tcPr>
            <w:tcW w:w="4243" w:type="dxa"/>
          </w:tcPr>
          <w:p w:rsidR="002A5C63" w:rsidRPr="00F432B7" w:rsidRDefault="002A5C63" w:rsidP="00B22946">
            <w:pPr>
              <w:spacing w:line="480" w:lineRule="auto"/>
              <w:cnfStyle w:val="000000000000"/>
              <w:rPr>
                <w:rFonts w:cs="Times New Roman"/>
                <w:color w:val="000000" w:themeColor="text1"/>
                <w:szCs w:val="24"/>
              </w:rPr>
            </w:pPr>
            <w:r w:rsidRPr="00F432B7">
              <w:rPr>
                <w:rFonts w:cs="Times New Roman"/>
                <w:color w:val="000000" w:themeColor="text1"/>
                <w:szCs w:val="24"/>
              </w:rPr>
              <w:t>Medication you can buy without a prescription and can use effectively and safely according to medication label and the health care professional like ibuprofen for pain and acetaminophen for headache and antacid for heartburn.</w:t>
            </w:r>
          </w:p>
        </w:tc>
      </w:tr>
      <w:tr w:rsidR="002A5C63" w:rsidRPr="00F432B7" w:rsidTr="000C4DCD">
        <w:trPr>
          <w:cnfStyle w:val="000000100000"/>
        </w:trPr>
        <w:tc>
          <w:tcPr>
            <w:cnfStyle w:val="00100000000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Complementary and alternative medicine (CAM)</w:t>
            </w:r>
          </w:p>
        </w:tc>
        <w:tc>
          <w:tcPr>
            <w:tcW w:w="4243" w:type="dxa"/>
          </w:tcPr>
          <w:p w:rsidR="002A5C63" w:rsidRPr="00F432B7" w:rsidRDefault="002A5C63" w:rsidP="00B22946">
            <w:pPr>
              <w:spacing w:line="480" w:lineRule="auto"/>
              <w:cnfStyle w:val="000000100000"/>
              <w:rPr>
                <w:rFonts w:cs="Times New Roman"/>
                <w:color w:val="000000" w:themeColor="text1"/>
                <w:szCs w:val="24"/>
              </w:rPr>
            </w:pPr>
            <w:r w:rsidRPr="00F432B7">
              <w:rPr>
                <w:rFonts w:cs="Times New Roman"/>
                <w:color w:val="000000" w:themeColor="text1"/>
                <w:szCs w:val="24"/>
              </w:rPr>
              <w:t>For example, herbal medication, vitamins prescribed</w:t>
            </w:r>
          </w:p>
          <w:p w:rsidR="002A5C63" w:rsidRPr="00F432B7" w:rsidRDefault="002A5C63" w:rsidP="00B22946">
            <w:pPr>
              <w:spacing w:line="480" w:lineRule="auto"/>
              <w:cnfStyle w:val="000000100000"/>
              <w:rPr>
                <w:rFonts w:cs="Times New Roman"/>
                <w:color w:val="000000" w:themeColor="text1"/>
                <w:szCs w:val="24"/>
              </w:rPr>
            </w:pPr>
            <w:r w:rsidRPr="00F432B7">
              <w:rPr>
                <w:rFonts w:cs="Times New Roman"/>
                <w:color w:val="000000" w:themeColor="text1"/>
                <w:szCs w:val="24"/>
              </w:rPr>
              <w:t>nutraceutical, and health supplements. CAMs are poorly documented despite their potential cause of patient harm and sometimes may cause death through adverse reaction and drug-drug interaction.</w:t>
            </w:r>
          </w:p>
        </w:tc>
      </w:tr>
      <w:tr w:rsidR="002A5C63" w:rsidRPr="00F432B7" w:rsidTr="000C4DCD">
        <w:tc>
          <w:tcPr>
            <w:cnfStyle w:val="00100000000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 xml:space="preserve">As needed (PRN, on demand) prescription and nonprescription medications </w:t>
            </w:r>
          </w:p>
        </w:tc>
        <w:tc>
          <w:tcPr>
            <w:tcW w:w="4243" w:type="dxa"/>
          </w:tcPr>
          <w:p w:rsidR="002A5C63" w:rsidRPr="00F432B7" w:rsidRDefault="002A5C63" w:rsidP="00B22946">
            <w:pPr>
              <w:spacing w:line="480" w:lineRule="auto"/>
              <w:cnfStyle w:val="000000000000"/>
              <w:rPr>
                <w:rFonts w:cs="Times New Roman"/>
                <w:color w:val="000000" w:themeColor="text1"/>
                <w:szCs w:val="24"/>
              </w:rPr>
            </w:pPr>
            <w:r w:rsidRPr="00F432B7">
              <w:rPr>
                <w:rFonts w:cs="Times New Roman"/>
                <w:color w:val="000000" w:themeColor="text1"/>
                <w:szCs w:val="24"/>
              </w:rPr>
              <w:t>It is essential to record the medication primarily the ones used in the long-term and should remind the patient with that (Singapore guideline 2018)</w:t>
            </w:r>
          </w:p>
        </w:tc>
      </w:tr>
      <w:tr w:rsidR="002A5C63" w:rsidRPr="00F432B7" w:rsidTr="000C4DCD">
        <w:trPr>
          <w:cnfStyle w:val="000000100000"/>
        </w:trPr>
        <w:tc>
          <w:tcPr>
            <w:cnfStyle w:val="00100000000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Recently stopped courses like an antibiotic</w:t>
            </w:r>
          </w:p>
        </w:tc>
        <w:tc>
          <w:tcPr>
            <w:tcW w:w="4243" w:type="dxa"/>
          </w:tcPr>
          <w:p w:rsidR="002A5C63" w:rsidRPr="00F432B7" w:rsidRDefault="002A5C63" w:rsidP="00B22946">
            <w:pPr>
              <w:spacing w:line="480" w:lineRule="auto"/>
              <w:cnfStyle w:val="000000100000"/>
              <w:rPr>
                <w:rFonts w:cs="Times New Roman"/>
                <w:color w:val="000000" w:themeColor="text1"/>
                <w:szCs w:val="24"/>
              </w:rPr>
            </w:pPr>
          </w:p>
        </w:tc>
      </w:tr>
      <w:tr w:rsidR="002A5C63" w:rsidRPr="00F432B7" w:rsidTr="000C4DCD">
        <w:tc>
          <w:tcPr>
            <w:cnfStyle w:val="00100000000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Any intermittent medication</w:t>
            </w:r>
          </w:p>
        </w:tc>
        <w:tc>
          <w:tcPr>
            <w:tcW w:w="4243" w:type="dxa"/>
          </w:tcPr>
          <w:p w:rsidR="002A5C63" w:rsidRPr="00F432B7" w:rsidRDefault="002A5C63" w:rsidP="00B22946">
            <w:pPr>
              <w:spacing w:line="480" w:lineRule="auto"/>
              <w:cnfStyle w:val="000000000000"/>
              <w:rPr>
                <w:rFonts w:cs="Times New Roman"/>
                <w:color w:val="000000" w:themeColor="text1"/>
                <w:szCs w:val="24"/>
              </w:rPr>
            </w:pPr>
            <w:r w:rsidRPr="00F432B7">
              <w:rPr>
                <w:rFonts w:cs="Times New Roman"/>
                <w:color w:val="000000" w:themeColor="text1"/>
                <w:szCs w:val="24"/>
              </w:rPr>
              <w:t>For instance, those taken weekly or monthly like vitamin D capsules or vitamin b12 injection</w:t>
            </w:r>
          </w:p>
        </w:tc>
      </w:tr>
      <w:tr w:rsidR="002A5C63" w:rsidRPr="00F432B7" w:rsidTr="000C4DCD">
        <w:trPr>
          <w:cnfStyle w:val="000000100000"/>
        </w:trPr>
        <w:tc>
          <w:tcPr>
            <w:cnfStyle w:val="00100000000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 xml:space="preserve">Recreational drugs, including alcohol and tobacco </w:t>
            </w:r>
          </w:p>
        </w:tc>
        <w:tc>
          <w:tcPr>
            <w:tcW w:w="4243" w:type="dxa"/>
          </w:tcPr>
          <w:p w:rsidR="002A5C63" w:rsidRPr="00F432B7" w:rsidRDefault="002A5C63" w:rsidP="00B22946">
            <w:pPr>
              <w:spacing w:line="480" w:lineRule="auto"/>
              <w:cnfStyle w:val="000000100000"/>
              <w:rPr>
                <w:rFonts w:cs="Times New Roman"/>
                <w:color w:val="000000" w:themeColor="text1"/>
                <w:szCs w:val="24"/>
              </w:rPr>
            </w:pPr>
            <w:r w:rsidRPr="00F432B7">
              <w:rPr>
                <w:rFonts w:cs="Times New Roman"/>
                <w:color w:val="000000" w:themeColor="text1"/>
                <w:szCs w:val="24"/>
              </w:rPr>
              <w:t>Clarify the kind, quantity, and duration of alcohol use and when the patient started it because of the effect of alcohol and tobacco on liver health and drug metabolism that can affect the prescribed medication and doses. (Tietze et al. 2018)</w:t>
            </w:r>
          </w:p>
        </w:tc>
      </w:tr>
      <w:tr w:rsidR="002A5C63" w:rsidRPr="00F432B7" w:rsidTr="000C4DCD">
        <w:tc>
          <w:tcPr>
            <w:cnfStyle w:val="00100000000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Sleeping tablets</w:t>
            </w:r>
          </w:p>
        </w:tc>
        <w:tc>
          <w:tcPr>
            <w:tcW w:w="4243" w:type="dxa"/>
          </w:tcPr>
          <w:p w:rsidR="002A5C63" w:rsidRPr="00F432B7" w:rsidRDefault="002A5C63" w:rsidP="00B22946">
            <w:pPr>
              <w:spacing w:line="480" w:lineRule="auto"/>
              <w:cnfStyle w:val="000000000000"/>
              <w:rPr>
                <w:rFonts w:cs="Times New Roman"/>
                <w:color w:val="000000" w:themeColor="text1"/>
                <w:szCs w:val="24"/>
              </w:rPr>
            </w:pPr>
          </w:p>
        </w:tc>
      </w:tr>
      <w:tr w:rsidR="002A5C63" w:rsidRPr="00F432B7" w:rsidTr="000C4DCD">
        <w:trPr>
          <w:cnfStyle w:val="000000100000"/>
        </w:trPr>
        <w:tc>
          <w:tcPr>
            <w:cnfStyle w:val="00100000000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Inhalers, Puffs, and sublingual tablets</w:t>
            </w:r>
          </w:p>
        </w:tc>
        <w:tc>
          <w:tcPr>
            <w:tcW w:w="4243" w:type="dxa"/>
          </w:tcPr>
          <w:p w:rsidR="002A5C63" w:rsidRPr="00F432B7" w:rsidRDefault="002A5C63" w:rsidP="00B22946">
            <w:pPr>
              <w:spacing w:line="480" w:lineRule="auto"/>
              <w:cnfStyle w:val="000000100000"/>
              <w:rPr>
                <w:rFonts w:cs="Times New Roman"/>
                <w:color w:val="000000" w:themeColor="text1"/>
                <w:szCs w:val="24"/>
              </w:rPr>
            </w:pPr>
          </w:p>
        </w:tc>
      </w:tr>
      <w:tr w:rsidR="002A5C63" w:rsidRPr="00F432B7" w:rsidTr="000C4DCD">
        <w:tc>
          <w:tcPr>
            <w:cnfStyle w:val="00100000000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Oral contraceptives and hormone replacement therapy</w:t>
            </w:r>
          </w:p>
        </w:tc>
        <w:tc>
          <w:tcPr>
            <w:tcW w:w="4243" w:type="dxa"/>
          </w:tcPr>
          <w:p w:rsidR="002A5C63" w:rsidRPr="00F432B7" w:rsidRDefault="002A5C63" w:rsidP="00B22946">
            <w:pPr>
              <w:spacing w:line="480" w:lineRule="auto"/>
              <w:cnfStyle w:val="000000000000"/>
              <w:rPr>
                <w:rFonts w:cs="Times New Roman"/>
                <w:color w:val="000000" w:themeColor="text1"/>
                <w:szCs w:val="24"/>
              </w:rPr>
            </w:pPr>
          </w:p>
        </w:tc>
      </w:tr>
      <w:tr w:rsidR="002A5C63" w:rsidRPr="00F432B7" w:rsidTr="000C4DCD">
        <w:trPr>
          <w:cnfStyle w:val="000000100000"/>
        </w:trPr>
        <w:tc>
          <w:tcPr>
            <w:cnfStyle w:val="00100000000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Topical medicine, Cream patches, and lotion</w:t>
            </w:r>
          </w:p>
        </w:tc>
        <w:tc>
          <w:tcPr>
            <w:tcW w:w="4243" w:type="dxa"/>
          </w:tcPr>
          <w:p w:rsidR="002A5C63" w:rsidRPr="00F432B7" w:rsidRDefault="002A5C63" w:rsidP="00B22946">
            <w:pPr>
              <w:spacing w:line="480" w:lineRule="auto"/>
              <w:cnfStyle w:val="000000100000"/>
              <w:rPr>
                <w:rFonts w:cs="Times New Roman"/>
                <w:color w:val="000000" w:themeColor="text1"/>
                <w:szCs w:val="24"/>
              </w:rPr>
            </w:pPr>
          </w:p>
        </w:tc>
      </w:tr>
      <w:tr w:rsidR="002A5C63" w:rsidRPr="00F432B7" w:rsidTr="000C4DCD">
        <w:tc>
          <w:tcPr>
            <w:cnfStyle w:val="00100000000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Eye, ear, and nasal drops</w:t>
            </w:r>
          </w:p>
        </w:tc>
        <w:tc>
          <w:tcPr>
            <w:tcW w:w="4243" w:type="dxa"/>
          </w:tcPr>
          <w:p w:rsidR="002A5C63" w:rsidRPr="00F432B7" w:rsidRDefault="002A5C63" w:rsidP="00B22946">
            <w:pPr>
              <w:spacing w:line="480" w:lineRule="auto"/>
              <w:cnfStyle w:val="000000000000"/>
              <w:rPr>
                <w:rFonts w:cs="Times New Roman"/>
                <w:color w:val="000000" w:themeColor="text1"/>
                <w:szCs w:val="24"/>
              </w:rPr>
            </w:pPr>
          </w:p>
        </w:tc>
      </w:tr>
      <w:tr w:rsidR="002A5C63" w:rsidRPr="00F432B7" w:rsidTr="000C4DCD">
        <w:trPr>
          <w:cnfStyle w:val="000000100000"/>
        </w:trPr>
        <w:tc>
          <w:tcPr>
            <w:cnfStyle w:val="00100000000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Injections</w:t>
            </w:r>
          </w:p>
        </w:tc>
        <w:tc>
          <w:tcPr>
            <w:tcW w:w="4243" w:type="dxa"/>
          </w:tcPr>
          <w:p w:rsidR="002A5C63" w:rsidRPr="00F432B7" w:rsidRDefault="002A5C63" w:rsidP="00B22946">
            <w:pPr>
              <w:spacing w:line="480" w:lineRule="auto"/>
              <w:cnfStyle w:val="000000100000"/>
              <w:rPr>
                <w:rFonts w:cs="Times New Roman"/>
                <w:color w:val="000000" w:themeColor="text1"/>
                <w:szCs w:val="24"/>
              </w:rPr>
            </w:pPr>
          </w:p>
        </w:tc>
      </w:tr>
      <w:tr w:rsidR="002A5C63" w:rsidRPr="00F432B7" w:rsidTr="000C4DCD">
        <w:tc>
          <w:tcPr>
            <w:cnfStyle w:val="00100000000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family members or friends medication</w:t>
            </w:r>
          </w:p>
        </w:tc>
        <w:tc>
          <w:tcPr>
            <w:tcW w:w="4243" w:type="dxa"/>
          </w:tcPr>
          <w:p w:rsidR="002A5C63" w:rsidRPr="00F432B7" w:rsidRDefault="002A5C63" w:rsidP="00B22946">
            <w:pPr>
              <w:spacing w:line="480" w:lineRule="auto"/>
              <w:cnfStyle w:val="000000000000"/>
              <w:rPr>
                <w:rFonts w:cs="Times New Roman"/>
                <w:color w:val="000000" w:themeColor="text1"/>
                <w:szCs w:val="24"/>
              </w:rPr>
            </w:pPr>
          </w:p>
        </w:tc>
      </w:tr>
      <w:tr w:rsidR="002A5C63" w:rsidRPr="00F432B7" w:rsidTr="000C4DCD">
        <w:trPr>
          <w:cnfStyle w:val="000000100000"/>
        </w:trPr>
        <w:tc>
          <w:tcPr>
            <w:cnfStyle w:val="00100000000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Any recent changes in medication dose, frequency, and the reason for that plus any discontinued medication especially long half-life medication and the reason for discontinuation</w:t>
            </w:r>
          </w:p>
        </w:tc>
        <w:tc>
          <w:tcPr>
            <w:tcW w:w="4243" w:type="dxa"/>
          </w:tcPr>
          <w:p w:rsidR="002A5C63" w:rsidRPr="00F432B7" w:rsidRDefault="002A5C63" w:rsidP="00B22946">
            <w:pPr>
              <w:spacing w:line="480" w:lineRule="auto"/>
              <w:cnfStyle w:val="000000100000"/>
              <w:rPr>
                <w:rFonts w:cs="Times New Roman"/>
                <w:color w:val="000000" w:themeColor="text1"/>
                <w:szCs w:val="24"/>
              </w:rPr>
            </w:pPr>
            <w:r w:rsidRPr="00F432B7">
              <w:rPr>
                <w:rFonts w:cs="Times New Roman"/>
                <w:color w:val="000000" w:themeColor="text1"/>
                <w:szCs w:val="24"/>
              </w:rPr>
              <w:t>Medications that are temporarily discontinued should be in the records and highlighted with the discontinuation reason; follow-up action and restart date should be included (Ministry of health, Singapore 2018).</w:t>
            </w:r>
          </w:p>
        </w:tc>
      </w:tr>
      <w:tr w:rsidR="002A5C63" w:rsidRPr="00F432B7" w:rsidTr="000C4DCD">
        <w:tc>
          <w:tcPr>
            <w:cnfStyle w:val="00100000000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Adherence to therapy</w:t>
            </w:r>
          </w:p>
        </w:tc>
        <w:tc>
          <w:tcPr>
            <w:tcW w:w="4243" w:type="dxa"/>
          </w:tcPr>
          <w:p w:rsidR="002A5C63" w:rsidRPr="00F432B7" w:rsidRDefault="002A5C63" w:rsidP="00B22946">
            <w:pPr>
              <w:spacing w:line="480" w:lineRule="auto"/>
              <w:cnfStyle w:val="000000000000"/>
              <w:rPr>
                <w:rFonts w:cs="Times New Roman"/>
                <w:color w:val="000000" w:themeColor="text1"/>
                <w:szCs w:val="24"/>
              </w:rPr>
            </w:pPr>
            <w:r w:rsidRPr="00F432B7">
              <w:rPr>
                <w:rFonts w:cs="Times New Roman"/>
                <w:color w:val="000000" w:themeColor="text1"/>
                <w:szCs w:val="24"/>
              </w:rPr>
              <w:t>taking medication regular as prescribed will help in evaluating the efficacy of the prescribed medication. Non-adherence may result in additional diagnostic procedures, hospitalization, and unnecessary medications.</w:t>
            </w:r>
          </w:p>
        </w:tc>
      </w:tr>
      <w:tr w:rsidR="002A5C63" w:rsidRPr="00F432B7" w:rsidTr="000C4DCD">
        <w:trPr>
          <w:cnfStyle w:val="000000100000"/>
        </w:trPr>
        <w:tc>
          <w:tcPr>
            <w:cnfStyle w:val="00100000000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Details of medications which are taken in changing doses should be included (e.g., oral</w:t>
            </w:r>
          </w:p>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corticosteroids, warfarin)</w:t>
            </w:r>
          </w:p>
        </w:tc>
        <w:tc>
          <w:tcPr>
            <w:tcW w:w="4243" w:type="dxa"/>
          </w:tcPr>
          <w:p w:rsidR="002A5C63" w:rsidRPr="00F432B7" w:rsidRDefault="002A5C63" w:rsidP="00B22946">
            <w:pPr>
              <w:spacing w:line="480" w:lineRule="auto"/>
              <w:cnfStyle w:val="000000100000"/>
              <w:rPr>
                <w:rFonts w:cs="Times New Roman"/>
                <w:color w:val="000000" w:themeColor="text1"/>
                <w:szCs w:val="24"/>
              </w:rPr>
            </w:pPr>
            <w:r w:rsidRPr="00F432B7">
              <w:rPr>
                <w:rFonts w:cs="Times New Roman"/>
                <w:color w:val="000000" w:themeColor="text1"/>
                <w:szCs w:val="24"/>
              </w:rPr>
              <w:t>For dose titration, the start and stop date should be documented for each treatment (Ministry of Health, Singapore (2018)</w:t>
            </w:r>
          </w:p>
        </w:tc>
      </w:tr>
      <w:tr w:rsidR="002A5C63" w:rsidRPr="00F432B7" w:rsidTr="000C4DCD">
        <w:tc>
          <w:tcPr>
            <w:cnfStyle w:val="00100000000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 xml:space="preserve">Adverse drug reactions </w:t>
            </w:r>
          </w:p>
        </w:tc>
        <w:tc>
          <w:tcPr>
            <w:tcW w:w="4243" w:type="dxa"/>
          </w:tcPr>
          <w:p w:rsidR="002A5C63" w:rsidRPr="00F432B7" w:rsidRDefault="002A5C63" w:rsidP="00B22946">
            <w:pPr>
              <w:spacing w:line="480" w:lineRule="auto"/>
              <w:cnfStyle w:val="000000000000"/>
              <w:rPr>
                <w:rFonts w:cs="Times New Roman"/>
                <w:color w:val="000000" w:themeColor="text1"/>
                <w:szCs w:val="24"/>
              </w:rPr>
            </w:pPr>
            <w:r w:rsidRPr="00F432B7">
              <w:rPr>
                <w:rFonts w:cs="Times New Roman"/>
                <w:color w:val="000000" w:themeColor="text1"/>
                <w:szCs w:val="24"/>
              </w:rPr>
              <w:t>Adverse drug reaction and allergy to medication, food, or supplement should be recorded after confirmation from the patient with more than one question about A.D.R.s and hypersensitivity reaction, time and nature of response like ex. Rash, hypotension, anaphylaxis, and if he received treatment or admitted for that or not.</w:t>
            </w:r>
          </w:p>
        </w:tc>
      </w:tr>
    </w:tbl>
    <w:p w:rsidR="00DC7BAF" w:rsidRDefault="00DC7BAF" w:rsidP="00B22946">
      <w:pPr>
        <w:spacing w:line="480" w:lineRule="auto"/>
        <w:rPr>
          <w:rFonts w:cs="Times New Roman"/>
          <w:szCs w:val="24"/>
        </w:rPr>
      </w:pPr>
    </w:p>
    <w:p w:rsidR="00E22C8E" w:rsidRPr="00B22946" w:rsidRDefault="00E22C8E" w:rsidP="00B22946">
      <w:pPr>
        <w:spacing w:line="480" w:lineRule="auto"/>
        <w:rPr>
          <w:rFonts w:cs="Times New Roman"/>
          <w:szCs w:val="24"/>
        </w:rPr>
      </w:pPr>
    </w:p>
    <w:p w:rsidR="00F432B7" w:rsidRDefault="00F432B7" w:rsidP="00B22946">
      <w:pPr>
        <w:spacing w:line="480" w:lineRule="auto"/>
        <w:rPr>
          <w:rFonts w:cs="Times New Roman"/>
          <w:szCs w:val="24"/>
        </w:rPr>
      </w:pPr>
    </w:p>
    <w:p w:rsidR="00F432B7" w:rsidRDefault="00F432B7">
      <w:pPr>
        <w:rPr>
          <w:rFonts w:cs="Times New Roman"/>
          <w:szCs w:val="24"/>
        </w:rPr>
      </w:pPr>
      <w:r>
        <w:rPr>
          <w:rFonts w:cs="Times New Roman"/>
          <w:szCs w:val="24"/>
        </w:rPr>
        <w:br w:type="page"/>
      </w:r>
    </w:p>
    <w:p w:rsidR="00DE1F3E" w:rsidRPr="00B22946" w:rsidRDefault="0024495D" w:rsidP="00B22946">
      <w:pPr>
        <w:spacing w:line="480" w:lineRule="auto"/>
        <w:rPr>
          <w:rFonts w:cs="Times New Roman"/>
          <w:szCs w:val="24"/>
        </w:rPr>
      </w:pPr>
      <w:r w:rsidRPr="00B22946">
        <w:rPr>
          <w:rFonts w:cs="Times New Roman"/>
          <w:szCs w:val="24"/>
        </w:rPr>
        <w:t xml:space="preserve">The first </w:t>
      </w:r>
      <w:r w:rsidR="003B5737" w:rsidRPr="00B22946">
        <w:rPr>
          <w:rFonts w:cs="Times New Roman"/>
          <w:szCs w:val="24"/>
        </w:rPr>
        <w:t>step</w:t>
      </w:r>
      <w:r w:rsidR="00657880">
        <w:rPr>
          <w:rFonts w:cs="Times New Roman"/>
          <w:szCs w:val="24"/>
        </w:rPr>
        <w:t xml:space="preserve"> </w:t>
      </w:r>
      <w:r w:rsidRPr="00B22946">
        <w:rPr>
          <w:rFonts w:cs="Times New Roman"/>
          <w:szCs w:val="24"/>
        </w:rPr>
        <w:t xml:space="preserve">involves meeting and greeting the patient. </w:t>
      </w:r>
      <w:r w:rsidR="00DE1F3E" w:rsidRPr="00B22946">
        <w:rPr>
          <w:rFonts w:cs="Times New Roman"/>
          <w:szCs w:val="24"/>
        </w:rPr>
        <w:t>Verify the patient room number and patient full name before interview</w:t>
      </w:r>
      <w:r w:rsidRPr="00B22946">
        <w:rPr>
          <w:rFonts w:cs="Times New Roman"/>
          <w:szCs w:val="24"/>
        </w:rPr>
        <w:t>ing them;</w:t>
      </w:r>
      <w:r w:rsidR="00DE1F3E" w:rsidRPr="00B22946">
        <w:rPr>
          <w:rFonts w:cs="Times New Roman"/>
          <w:szCs w:val="24"/>
        </w:rPr>
        <w:t xml:space="preserve"> greet the patient with </w:t>
      </w:r>
      <w:r w:rsidRPr="00B22946">
        <w:rPr>
          <w:rFonts w:cs="Times New Roman"/>
          <w:szCs w:val="24"/>
        </w:rPr>
        <w:t>their</w:t>
      </w:r>
      <w:r w:rsidR="00DE1F3E" w:rsidRPr="00B22946">
        <w:rPr>
          <w:rFonts w:cs="Times New Roman"/>
          <w:szCs w:val="24"/>
        </w:rPr>
        <w:t xml:space="preserve"> name while making </w:t>
      </w:r>
      <w:r w:rsidRPr="00B22946">
        <w:rPr>
          <w:rFonts w:cs="Times New Roman"/>
          <w:szCs w:val="24"/>
        </w:rPr>
        <w:t xml:space="preserve">eye contact </w:t>
      </w:r>
      <w:r w:rsidR="00DE1F3E" w:rsidRPr="00B22946">
        <w:rPr>
          <w:rFonts w:cs="Times New Roman"/>
          <w:szCs w:val="24"/>
        </w:rPr>
        <w:t xml:space="preserve">and greet any patient visitor, start to introduce yourself and your position in </w:t>
      </w:r>
      <w:r w:rsidRPr="00B22946">
        <w:rPr>
          <w:rFonts w:cs="Times New Roman"/>
          <w:szCs w:val="24"/>
        </w:rPr>
        <w:t xml:space="preserve">the </w:t>
      </w:r>
      <w:r w:rsidR="00DE1F3E" w:rsidRPr="00B22946">
        <w:rPr>
          <w:rFonts w:cs="Times New Roman"/>
          <w:szCs w:val="24"/>
        </w:rPr>
        <w:t>health care organization.</w:t>
      </w:r>
      <w:r w:rsidR="003B5737" w:rsidRPr="00B22946">
        <w:rPr>
          <w:rFonts w:cs="Times New Roman"/>
          <w:szCs w:val="24"/>
        </w:rPr>
        <w:t xml:space="preserve"> The second step</w:t>
      </w:r>
      <w:r w:rsidR="00E75F9F" w:rsidRPr="00B22946">
        <w:rPr>
          <w:rFonts w:cs="Times New Roman"/>
          <w:szCs w:val="24"/>
        </w:rPr>
        <w:t xml:space="preserve"> involves o</w:t>
      </w:r>
      <w:r w:rsidR="00DE1F3E" w:rsidRPr="00B22946">
        <w:rPr>
          <w:rFonts w:cs="Times New Roman"/>
          <w:szCs w:val="24"/>
        </w:rPr>
        <w:t>rientating the patient</w:t>
      </w:r>
      <w:r w:rsidR="00E75F9F" w:rsidRPr="00B22946">
        <w:rPr>
          <w:rFonts w:cs="Times New Roman"/>
          <w:szCs w:val="24"/>
        </w:rPr>
        <w:t>. St</w:t>
      </w:r>
      <w:r w:rsidR="00DE1F3E" w:rsidRPr="00B22946">
        <w:rPr>
          <w:rFonts w:cs="Times New Roman"/>
          <w:szCs w:val="24"/>
        </w:rPr>
        <w:t>art to explain to the patient the reason for the interview like” I am here to review your</w:t>
      </w:r>
      <w:r w:rsidR="00657880">
        <w:rPr>
          <w:rFonts w:cs="Times New Roman"/>
          <w:szCs w:val="24"/>
        </w:rPr>
        <w:t xml:space="preserve"> </w:t>
      </w:r>
      <w:r w:rsidR="00DE1F3E" w:rsidRPr="00B22946">
        <w:rPr>
          <w:rFonts w:cs="Times New Roman"/>
          <w:szCs w:val="24"/>
        </w:rPr>
        <w:t>home medication</w:t>
      </w:r>
      <w:r w:rsidR="00E75F9F" w:rsidRPr="00B22946">
        <w:rPr>
          <w:rFonts w:cs="Times New Roman"/>
          <w:szCs w:val="24"/>
        </w:rPr>
        <w:t xml:space="preserve"> to ensure it matches our list,” </w:t>
      </w:r>
      <w:r w:rsidR="00DE1F3E" w:rsidRPr="00B22946">
        <w:rPr>
          <w:rFonts w:cs="Times New Roman"/>
          <w:szCs w:val="24"/>
        </w:rPr>
        <w:t xml:space="preserve">and show to </w:t>
      </w:r>
      <w:r w:rsidR="009739D2" w:rsidRPr="00B22946">
        <w:rPr>
          <w:rFonts w:cs="Times New Roman"/>
          <w:szCs w:val="24"/>
        </w:rPr>
        <w:t xml:space="preserve">them how this interview is vital to their </w:t>
      </w:r>
      <w:r w:rsidR="00DE1F3E" w:rsidRPr="00B22946">
        <w:rPr>
          <w:rFonts w:cs="Times New Roman"/>
          <w:szCs w:val="24"/>
        </w:rPr>
        <w:t>safety during admission and after discharge.</w:t>
      </w:r>
      <w:r w:rsidR="00E22C8E" w:rsidRPr="00B22946">
        <w:rPr>
          <w:rFonts w:cs="Times New Roman"/>
          <w:szCs w:val="24"/>
        </w:rPr>
        <w:t xml:space="preserve"> The third step entails e</w:t>
      </w:r>
      <w:r w:rsidR="00DE1F3E" w:rsidRPr="00B22946">
        <w:rPr>
          <w:rFonts w:cs="Times New Roman"/>
          <w:szCs w:val="24"/>
        </w:rPr>
        <w:t>xplain</w:t>
      </w:r>
      <w:r w:rsidR="00E22C8E" w:rsidRPr="00B22946">
        <w:rPr>
          <w:rFonts w:cs="Times New Roman"/>
          <w:szCs w:val="24"/>
        </w:rPr>
        <w:t>ing</w:t>
      </w:r>
      <w:r w:rsidR="00DE1F3E" w:rsidRPr="00B22946">
        <w:rPr>
          <w:rFonts w:cs="Times New Roman"/>
          <w:szCs w:val="24"/>
        </w:rPr>
        <w:t xml:space="preserve"> time limits</w:t>
      </w:r>
      <w:r w:rsidR="00E22C8E" w:rsidRPr="00B22946">
        <w:rPr>
          <w:rFonts w:cs="Times New Roman"/>
          <w:szCs w:val="24"/>
        </w:rPr>
        <w:t xml:space="preserve"> to the patient. </w:t>
      </w:r>
      <w:r w:rsidR="00DE1F3E" w:rsidRPr="00B22946">
        <w:rPr>
          <w:rFonts w:cs="Times New Roman"/>
          <w:szCs w:val="24"/>
        </w:rPr>
        <w:t>Determine the duration of the interview to the patient that will make him concentrate in</w:t>
      </w:r>
      <w:r w:rsidR="00E22C8E" w:rsidRPr="00B22946">
        <w:rPr>
          <w:rFonts w:cs="Times New Roman"/>
          <w:szCs w:val="24"/>
        </w:rPr>
        <w:t xml:space="preserve"> the </w:t>
      </w:r>
      <w:r w:rsidR="00DE1F3E" w:rsidRPr="00B22946">
        <w:rPr>
          <w:rFonts w:cs="Times New Roman"/>
          <w:szCs w:val="24"/>
        </w:rPr>
        <w:t>interview</w:t>
      </w:r>
      <w:r w:rsidR="00460650" w:rsidRPr="00B22946">
        <w:rPr>
          <w:rFonts w:cs="Times New Roman"/>
          <w:szCs w:val="24"/>
        </w:rPr>
        <w:t xml:space="preserve"> and give all the relevant information. </w:t>
      </w:r>
      <w:r w:rsidR="00DE1F3E" w:rsidRPr="00B22946">
        <w:rPr>
          <w:rFonts w:cs="Times New Roman"/>
          <w:szCs w:val="24"/>
        </w:rPr>
        <w:t>If the patient c</w:t>
      </w:r>
      <w:r w:rsidR="00037D12" w:rsidRPr="00B22946">
        <w:rPr>
          <w:rFonts w:cs="Times New Roman"/>
          <w:szCs w:val="24"/>
        </w:rPr>
        <w:t>omplains during</w:t>
      </w:r>
      <w:r w:rsidR="00DE1F3E" w:rsidRPr="00B22946">
        <w:rPr>
          <w:rFonts w:cs="Times New Roman"/>
          <w:szCs w:val="24"/>
        </w:rPr>
        <w:t xml:space="preserve"> the interview</w:t>
      </w:r>
      <w:r w:rsidR="00037D12" w:rsidRPr="00B22946">
        <w:rPr>
          <w:rFonts w:cs="Times New Roman"/>
          <w:szCs w:val="24"/>
        </w:rPr>
        <w:t xml:space="preserve"> that the time is too limited to </w:t>
      </w:r>
      <w:r w:rsidR="00DE1F3E" w:rsidRPr="00B22946">
        <w:rPr>
          <w:rFonts w:cs="Times New Roman"/>
          <w:szCs w:val="24"/>
        </w:rPr>
        <w:t xml:space="preserve">cover all </w:t>
      </w:r>
      <w:r w:rsidR="00037D12" w:rsidRPr="00B22946">
        <w:rPr>
          <w:rFonts w:cs="Times New Roman"/>
          <w:szCs w:val="24"/>
        </w:rPr>
        <w:t xml:space="preserve">of the </w:t>
      </w:r>
      <w:r w:rsidR="00DE1F3E" w:rsidRPr="00B22946">
        <w:rPr>
          <w:rFonts w:cs="Times New Roman"/>
          <w:szCs w:val="24"/>
        </w:rPr>
        <w:t>medicati</w:t>
      </w:r>
      <w:r w:rsidR="00B34786" w:rsidRPr="00B22946">
        <w:rPr>
          <w:rFonts w:cs="Times New Roman"/>
          <w:szCs w:val="24"/>
        </w:rPr>
        <w:t>on history, we should inform them if it is not enough</w:t>
      </w:r>
      <w:r w:rsidR="00DE1F3E" w:rsidRPr="00B22946">
        <w:rPr>
          <w:rFonts w:cs="Times New Roman"/>
          <w:szCs w:val="24"/>
        </w:rPr>
        <w:t xml:space="preserve"> there will be another interview to complete all medication history issues.</w:t>
      </w:r>
      <w:r w:rsidR="007F4294" w:rsidRPr="00B22946">
        <w:rPr>
          <w:rFonts w:cs="Times New Roman"/>
          <w:szCs w:val="24"/>
        </w:rPr>
        <w:t xml:space="preserve"> The last element involves e</w:t>
      </w:r>
      <w:r w:rsidR="00DE1F3E" w:rsidRPr="00B22946">
        <w:rPr>
          <w:rFonts w:cs="Times New Roman"/>
          <w:szCs w:val="24"/>
        </w:rPr>
        <w:t>xplaining note taking</w:t>
      </w:r>
      <w:r w:rsidR="007F4294" w:rsidRPr="00B22946">
        <w:rPr>
          <w:rFonts w:cs="Times New Roman"/>
          <w:szCs w:val="24"/>
        </w:rPr>
        <w:t xml:space="preserve"> to the patient</w:t>
      </w:r>
      <w:r w:rsidR="0025024D" w:rsidRPr="00B22946">
        <w:rPr>
          <w:rFonts w:cs="Times New Roman"/>
          <w:szCs w:val="24"/>
        </w:rPr>
        <w:t xml:space="preserve"> (Rajanandh 2018)</w:t>
      </w:r>
      <w:r w:rsidR="007F4294" w:rsidRPr="00B22946">
        <w:rPr>
          <w:rFonts w:cs="Times New Roman"/>
          <w:szCs w:val="24"/>
        </w:rPr>
        <w:t>.</w:t>
      </w:r>
      <w:r w:rsidR="0056646C" w:rsidRPr="00B22946">
        <w:rPr>
          <w:rFonts w:cs="Times New Roman"/>
          <w:szCs w:val="24"/>
        </w:rPr>
        <w:t xml:space="preserve"> T</w:t>
      </w:r>
      <w:r w:rsidR="00DE1F3E" w:rsidRPr="00B22946">
        <w:rPr>
          <w:rFonts w:cs="Times New Roman"/>
          <w:szCs w:val="24"/>
        </w:rPr>
        <w:t xml:space="preserve">he </w:t>
      </w:r>
      <w:r w:rsidR="0056646C" w:rsidRPr="00B22946">
        <w:rPr>
          <w:rFonts w:cs="Times New Roman"/>
          <w:szCs w:val="24"/>
        </w:rPr>
        <w:t xml:space="preserve">healthcare professional </w:t>
      </w:r>
      <w:r w:rsidR="00DE1F3E" w:rsidRPr="00B22946">
        <w:rPr>
          <w:rFonts w:cs="Times New Roman"/>
          <w:szCs w:val="24"/>
        </w:rPr>
        <w:t xml:space="preserve">should inform the patient he </w:t>
      </w:r>
      <w:r w:rsidR="00DC7BAF" w:rsidRPr="00B22946">
        <w:rPr>
          <w:rFonts w:cs="Times New Roman"/>
          <w:szCs w:val="24"/>
        </w:rPr>
        <w:t>would</w:t>
      </w:r>
      <w:r w:rsidR="005A495D">
        <w:rPr>
          <w:rFonts w:cs="Times New Roman"/>
          <w:szCs w:val="24"/>
        </w:rPr>
        <w:t xml:space="preserve"> </w:t>
      </w:r>
      <w:r w:rsidR="00EC0235" w:rsidRPr="00B22946">
        <w:rPr>
          <w:rFonts w:cs="Times New Roman"/>
          <w:szCs w:val="24"/>
        </w:rPr>
        <w:t>be taking</w:t>
      </w:r>
      <w:r w:rsidR="00DE1F3E" w:rsidRPr="00B22946">
        <w:rPr>
          <w:rFonts w:cs="Times New Roman"/>
          <w:szCs w:val="24"/>
        </w:rPr>
        <w:t xml:space="preserve"> notes to remember all points in the interview, after confirming to the patient</w:t>
      </w:r>
      <w:r w:rsidR="0056646C" w:rsidRPr="00B22946">
        <w:rPr>
          <w:rFonts w:cs="Times New Roman"/>
          <w:szCs w:val="24"/>
        </w:rPr>
        <w:t xml:space="preserve"> that</w:t>
      </w:r>
      <w:r w:rsidR="00DE1F3E" w:rsidRPr="00B22946">
        <w:rPr>
          <w:rFonts w:cs="Times New Roman"/>
          <w:szCs w:val="24"/>
        </w:rPr>
        <w:t xml:space="preserve"> all data will be confidential.</w:t>
      </w:r>
    </w:p>
    <w:p w:rsidR="00DE1F3E" w:rsidRPr="00B22946" w:rsidRDefault="00DE1F3E" w:rsidP="00B22946">
      <w:pPr>
        <w:spacing w:line="480" w:lineRule="auto"/>
        <w:rPr>
          <w:rFonts w:cs="Times New Roman"/>
          <w:szCs w:val="24"/>
        </w:rPr>
      </w:pPr>
      <w:r w:rsidRPr="00B22946">
        <w:rPr>
          <w:rFonts w:cs="Times New Roman"/>
          <w:szCs w:val="24"/>
        </w:rPr>
        <w:t xml:space="preserve">For each medication, </w:t>
      </w:r>
      <w:r w:rsidR="00FD13BE" w:rsidRPr="00B22946">
        <w:rPr>
          <w:rFonts w:cs="Times New Roman"/>
          <w:szCs w:val="24"/>
        </w:rPr>
        <w:t xml:space="preserve">the </w:t>
      </w:r>
      <w:r w:rsidRPr="00B22946">
        <w:rPr>
          <w:rFonts w:cs="Times New Roman"/>
          <w:szCs w:val="24"/>
        </w:rPr>
        <w:t>medication history should include</w:t>
      </w:r>
      <w:r w:rsidR="00FD13BE" w:rsidRPr="00B22946">
        <w:rPr>
          <w:rFonts w:cs="Times New Roman"/>
          <w:szCs w:val="24"/>
        </w:rPr>
        <w:t xml:space="preserve"> f</w:t>
      </w:r>
      <w:r w:rsidRPr="00B22946">
        <w:rPr>
          <w:rFonts w:cs="Times New Roman"/>
          <w:szCs w:val="24"/>
        </w:rPr>
        <w:t>ull med</w:t>
      </w:r>
      <w:r w:rsidR="00FD13BE" w:rsidRPr="00B22946">
        <w:rPr>
          <w:rFonts w:cs="Times New Roman"/>
          <w:szCs w:val="24"/>
        </w:rPr>
        <w:t xml:space="preserve">ication name with those letters </w:t>
      </w:r>
      <w:r w:rsidRPr="00B22946">
        <w:rPr>
          <w:rFonts w:cs="Times New Roman"/>
          <w:szCs w:val="24"/>
        </w:rPr>
        <w:t>which appear aft</w:t>
      </w:r>
      <w:r w:rsidR="00D31320" w:rsidRPr="00B22946">
        <w:rPr>
          <w:rFonts w:cs="Times New Roman"/>
          <w:szCs w:val="24"/>
        </w:rPr>
        <w:t>er the medicine name like XL, CR., CD La, S</w:t>
      </w:r>
      <w:r w:rsidRPr="00B22946">
        <w:rPr>
          <w:rFonts w:cs="Times New Roman"/>
          <w:szCs w:val="24"/>
        </w:rPr>
        <w:t>R, etc.)</w:t>
      </w:r>
      <w:r w:rsidR="00E70F12" w:rsidRPr="00B22946">
        <w:rPr>
          <w:rFonts w:cs="Times New Roman"/>
          <w:szCs w:val="24"/>
        </w:rPr>
        <w:t>. The</w:t>
      </w:r>
      <w:r w:rsidR="00FD13BE" w:rsidRPr="00B22946">
        <w:rPr>
          <w:rFonts w:cs="Times New Roman"/>
          <w:szCs w:val="24"/>
        </w:rPr>
        <w:t xml:space="preserve"> m</w:t>
      </w:r>
      <w:r w:rsidRPr="00B22946">
        <w:rPr>
          <w:rFonts w:cs="Times New Roman"/>
          <w:szCs w:val="24"/>
        </w:rPr>
        <w:t>edication strength(mg, mcg, units, etc.)</w:t>
      </w:r>
      <w:r w:rsidR="00E70F12" w:rsidRPr="00B22946">
        <w:rPr>
          <w:rFonts w:cs="Times New Roman"/>
          <w:szCs w:val="24"/>
        </w:rPr>
        <w:t xml:space="preserve"> as well as </w:t>
      </w:r>
      <w:r w:rsidR="00FD13BE" w:rsidRPr="00B22946">
        <w:rPr>
          <w:rFonts w:cs="Times New Roman"/>
          <w:szCs w:val="24"/>
        </w:rPr>
        <w:t>m</w:t>
      </w:r>
      <w:r w:rsidRPr="00B22946">
        <w:rPr>
          <w:rFonts w:cs="Times New Roman"/>
          <w:szCs w:val="24"/>
        </w:rPr>
        <w:t>edication formulation (e.g., extended release, controlled delivery, enteric coated,</w:t>
      </w:r>
      <w:r w:rsidR="0046687C">
        <w:rPr>
          <w:rFonts w:cs="Times New Roman"/>
          <w:szCs w:val="24"/>
        </w:rPr>
        <w:t xml:space="preserve"> </w:t>
      </w:r>
      <w:r w:rsidRPr="00B22946">
        <w:rPr>
          <w:rFonts w:cs="Times New Roman"/>
          <w:szCs w:val="24"/>
        </w:rPr>
        <w:t>long-acting, etc.)</w:t>
      </w:r>
      <w:r w:rsidR="00E70F12" w:rsidRPr="00B22946">
        <w:rPr>
          <w:rFonts w:cs="Times New Roman"/>
          <w:szCs w:val="24"/>
        </w:rPr>
        <w:t xml:space="preserve"> should also be part of the information recorded.</w:t>
      </w:r>
      <w:r w:rsidR="0046687C">
        <w:rPr>
          <w:rFonts w:cs="Times New Roman"/>
          <w:szCs w:val="24"/>
        </w:rPr>
        <w:t xml:space="preserve"> </w:t>
      </w:r>
      <w:r w:rsidR="00CD2C43" w:rsidRPr="00B22946">
        <w:rPr>
          <w:rFonts w:cs="Times New Roman"/>
          <w:szCs w:val="24"/>
        </w:rPr>
        <w:t xml:space="preserve">In addition, the </w:t>
      </w:r>
      <w:r w:rsidR="00400CB6" w:rsidRPr="00B22946">
        <w:rPr>
          <w:rFonts w:cs="Times New Roman"/>
          <w:szCs w:val="24"/>
        </w:rPr>
        <w:t>m</w:t>
      </w:r>
      <w:r w:rsidRPr="00B22946">
        <w:rPr>
          <w:rFonts w:cs="Times New Roman"/>
          <w:szCs w:val="24"/>
        </w:rPr>
        <w:t>edication dose</w:t>
      </w:r>
      <w:r w:rsidR="00CD2C43" w:rsidRPr="00B22946">
        <w:rPr>
          <w:rFonts w:cs="Times New Roman"/>
          <w:szCs w:val="24"/>
        </w:rPr>
        <w:t>, frequency, and route of administration should also be part of the medication history. The dose may be defined by measures such as 1</w:t>
      </w:r>
      <w:r w:rsidRPr="00B22946">
        <w:rPr>
          <w:rFonts w:cs="Times New Roman"/>
          <w:szCs w:val="24"/>
        </w:rPr>
        <w:t xml:space="preserve"> tablet, two capsules, 10ml, one suppository, two puffs, etc.)</w:t>
      </w:r>
      <w:r w:rsidR="00CD2C43" w:rsidRPr="00B22946">
        <w:rPr>
          <w:rFonts w:cs="Times New Roman"/>
          <w:szCs w:val="24"/>
        </w:rPr>
        <w:t xml:space="preserve">. The </w:t>
      </w:r>
      <w:r w:rsidR="00400CB6" w:rsidRPr="00B22946">
        <w:rPr>
          <w:rFonts w:cs="Times New Roman"/>
          <w:szCs w:val="24"/>
        </w:rPr>
        <w:t>r</w:t>
      </w:r>
      <w:r w:rsidRPr="00B22946">
        <w:rPr>
          <w:rFonts w:cs="Times New Roman"/>
          <w:szCs w:val="24"/>
        </w:rPr>
        <w:t>out</w:t>
      </w:r>
      <w:r w:rsidR="00400CB6" w:rsidRPr="00B22946">
        <w:rPr>
          <w:rFonts w:cs="Times New Roman"/>
          <w:szCs w:val="24"/>
        </w:rPr>
        <w:t>e</w:t>
      </w:r>
      <w:r w:rsidRPr="00B22946">
        <w:rPr>
          <w:rFonts w:cs="Times New Roman"/>
          <w:szCs w:val="24"/>
        </w:rPr>
        <w:t xml:space="preserve"> of administration</w:t>
      </w:r>
      <w:r w:rsidR="00CD2C43" w:rsidRPr="00B22946">
        <w:rPr>
          <w:rFonts w:cs="Times New Roman"/>
          <w:szCs w:val="24"/>
        </w:rPr>
        <w:t xml:space="preserve"> may involve mouth, inhalation</w:t>
      </w:r>
      <w:r w:rsidRPr="00B22946">
        <w:rPr>
          <w:rFonts w:cs="Times New Roman"/>
          <w:szCs w:val="24"/>
        </w:rPr>
        <w:t>, injection patch, local ap</w:t>
      </w:r>
      <w:r w:rsidR="00E70F12" w:rsidRPr="00B22946">
        <w:rPr>
          <w:rFonts w:cs="Times New Roman"/>
          <w:szCs w:val="24"/>
        </w:rPr>
        <w:t>plication, etc).</w:t>
      </w:r>
      <w:r w:rsidR="00CD2C43" w:rsidRPr="00B22946">
        <w:rPr>
          <w:rFonts w:cs="Times New Roman"/>
          <w:szCs w:val="24"/>
        </w:rPr>
        <w:t xml:space="preserve">The </w:t>
      </w:r>
      <w:r w:rsidRPr="00B22946">
        <w:rPr>
          <w:rFonts w:cs="Times New Roman"/>
          <w:szCs w:val="24"/>
        </w:rPr>
        <w:t>frequency</w:t>
      </w:r>
      <w:r w:rsidR="00CD2C43" w:rsidRPr="00B22946">
        <w:rPr>
          <w:rFonts w:cs="Times New Roman"/>
          <w:szCs w:val="24"/>
        </w:rPr>
        <w:t xml:space="preserve"> involves the </w:t>
      </w:r>
      <w:r w:rsidRPr="00B22946">
        <w:rPr>
          <w:rFonts w:cs="Times New Roman"/>
          <w:szCs w:val="24"/>
        </w:rPr>
        <w:t>time of m</w:t>
      </w:r>
      <w:r w:rsidR="00CD2C43" w:rsidRPr="00B22946">
        <w:rPr>
          <w:rFonts w:cs="Times New Roman"/>
          <w:szCs w:val="24"/>
        </w:rPr>
        <w:t xml:space="preserve">edication administration, for example, </w:t>
      </w:r>
      <w:r w:rsidRPr="00B22946">
        <w:rPr>
          <w:rFonts w:cs="Times New Roman"/>
          <w:szCs w:val="24"/>
        </w:rPr>
        <w:t>in the mor</w:t>
      </w:r>
      <w:r w:rsidR="00CD2C43" w:rsidRPr="00B22946">
        <w:rPr>
          <w:rFonts w:cs="Times New Roman"/>
          <w:szCs w:val="24"/>
        </w:rPr>
        <w:t>ning and evening, once a month, and the date and time of l</w:t>
      </w:r>
      <w:r w:rsidRPr="00B22946">
        <w:rPr>
          <w:rFonts w:cs="Times New Roman"/>
          <w:szCs w:val="24"/>
        </w:rPr>
        <w:t>ast dose (</w:t>
      </w:r>
      <w:r w:rsidR="00AD64F4" w:rsidRPr="00B22946">
        <w:rPr>
          <w:rFonts w:cs="Times New Roman"/>
          <w:szCs w:val="24"/>
        </w:rPr>
        <w:t>Gleason</w:t>
      </w:r>
      <w:r w:rsidRPr="00B22946">
        <w:rPr>
          <w:rFonts w:cs="Times New Roman"/>
          <w:szCs w:val="24"/>
        </w:rPr>
        <w:t xml:space="preserve"> et al</w:t>
      </w:r>
      <w:r w:rsidR="00032950" w:rsidRPr="00B22946">
        <w:rPr>
          <w:rFonts w:cs="Times New Roman"/>
          <w:szCs w:val="24"/>
        </w:rPr>
        <w:t xml:space="preserve">. </w:t>
      </w:r>
      <w:r w:rsidRPr="00B22946">
        <w:rPr>
          <w:rFonts w:cs="Times New Roman"/>
          <w:szCs w:val="24"/>
        </w:rPr>
        <w:t>2012)</w:t>
      </w:r>
    </w:p>
    <w:p w:rsidR="00DE1F3E" w:rsidRPr="00B22946" w:rsidRDefault="00DE1F3E" w:rsidP="00B22946">
      <w:pPr>
        <w:spacing w:line="480" w:lineRule="auto"/>
        <w:rPr>
          <w:rFonts w:cs="Times New Roman"/>
          <w:szCs w:val="24"/>
        </w:rPr>
      </w:pPr>
      <w:r w:rsidRPr="00B22946">
        <w:rPr>
          <w:rFonts w:cs="Times New Roman"/>
          <w:szCs w:val="24"/>
        </w:rPr>
        <w:t xml:space="preserve">During a health care professional (physician or pharmacist) interview with the patient toreport his </w:t>
      </w:r>
      <w:r w:rsidR="002A5C63" w:rsidRPr="00B22946">
        <w:rPr>
          <w:rFonts w:cs="Times New Roman"/>
          <w:szCs w:val="24"/>
        </w:rPr>
        <w:t xml:space="preserve">or her </w:t>
      </w:r>
      <w:r w:rsidRPr="00B22946">
        <w:rPr>
          <w:rFonts w:cs="Times New Roman"/>
          <w:szCs w:val="24"/>
        </w:rPr>
        <w:t>active medication list, physician or pharmacist should use</w:t>
      </w:r>
      <w:r w:rsidR="004A04AE" w:rsidRPr="00B22946">
        <w:rPr>
          <w:rFonts w:cs="Times New Roman"/>
          <w:szCs w:val="24"/>
        </w:rPr>
        <w:t xml:space="preserve"> a mix of questions to r</w:t>
      </w:r>
      <w:r w:rsidRPr="00B22946">
        <w:rPr>
          <w:rFonts w:cs="Times New Roman"/>
          <w:szCs w:val="24"/>
        </w:rPr>
        <w:t>efresh patient memory and help</w:t>
      </w:r>
      <w:r w:rsidR="004A04AE" w:rsidRPr="00B22946">
        <w:rPr>
          <w:rFonts w:cs="Times New Roman"/>
          <w:szCs w:val="24"/>
        </w:rPr>
        <w:t xml:space="preserve"> them to remember their </w:t>
      </w:r>
      <w:r w:rsidRPr="00B22946">
        <w:rPr>
          <w:rFonts w:cs="Times New Roman"/>
          <w:szCs w:val="24"/>
        </w:rPr>
        <w:t>medication (</w:t>
      </w:r>
      <w:r w:rsidR="00AD64F4" w:rsidRPr="00B22946">
        <w:rPr>
          <w:rFonts w:cs="Times New Roman"/>
          <w:szCs w:val="24"/>
        </w:rPr>
        <w:t>Gleason</w:t>
      </w:r>
      <w:r w:rsidRPr="00B22946">
        <w:rPr>
          <w:rFonts w:cs="Times New Roman"/>
          <w:szCs w:val="24"/>
        </w:rPr>
        <w:t xml:space="preserve"> et al. 2012)</w:t>
      </w:r>
      <w:r w:rsidR="004A04AE" w:rsidRPr="00B22946">
        <w:rPr>
          <w:rFonts w:cs="Times New Roman"/>
          <w:szCs w:val="24"/>
        </w:rPr>
        <w:t xml:space="preserve">. </w:t>
      </w:r>
      <w:r w:rsidRPr="00B22946">
        <w:rPr>
          <w:rFonts w:cs="Times New Roman"/>
          <w:szCs w:val="24"/>
        </w:rPr>
        <w:t>Combination of open-ended and close</w:t>
      </w:r>
      <w:r w:rsidR="00A9787F" w:rsidRPr="00B22946">
        <w:rPr>
          <w:rFonts w:cs="Times New Roman"/>
          <w:szCs w:val="24"/>
        </w:rPr>
        <w:t xml:space="preserve">-ended question </w:t>
      </w:r>
      <w:r w:rsidRPr="00B22946">
        <w:rPr>
          <w:rFonts w:cs="Times New Roman"/>
          <w:szCs w:val="24"/>
        </w:rPr>
        <w:t>will help the patient t</w:t>
      </w:r>
      <w:r w:rsidR="00A9787F" w:rsidRPr="00B22946">
        <w:rPr>
          <w:rFonts w:cs="Times New Roman"/>
          <w:szCs w:val="24"/>
        </w:rPr>
        <w:t xml:space="preserve">o remember his medication. For example, </w:t>
      </w:r>
      <w:r w:rsidRPr="00B22946">
        <w:rPr>
          <w:rFonts w:cs="Times New Roman"/>
          <w:szCs w:val="24"/>
        </w:rPr>
        <w:t>what do you take for your high blood pressure</w:t>
      </w:r>
      <w:r w:rsidR="00A9787F" w:rsidRPr="00B22946">
        <w:rPr>
          <w:rFonts w:cs="Times New Roman"/>
          <w:szCs w:val="24"/>
        </w:rPr>
        <w:t xml:space="preserve"> (opened-end), a</w:t>
      </w:r>
      <w:r w:rsidRPr="00B22946">
        <w:rPr>
          <w:rFonts w:cs="Times New Roman"/>
          <w:szCs w:val="24"/>
        </w:rPr>
        <w:t>nd what is the medicine you take for hypertension (cl</w:t>
      </w:r>
      <w:r w:rsidR="00A9787F" w:rsidRPr="00B22946">
        <w:rPr>
          <w:rFonts w:cs="Times New Roman"/>
          <w:szCs w:val="24"/>
        </w:rPr>
        <w:t>osed-end). It is also important to ask</w:t>
      </w:r>
      <w:r w:rsidRPr="00B22946">
        <w:rPr>
          <w:rFonts w:cs="Times New Roman"/>
          <w:szCs w:val="24"/>
        </w:rPr>
        <w:t xml:space="preserve"> for any other rout</w:t>
      </w:r>
      <w:r w:rsidR="00C36E5D" w:rsidRPr="00B22946">
        <w:rPr>
          <w:rFonts w:cs="Times New Roman"/>
          <w:szCs w:val="24"/>
        </w:rPr>
        <w:t>e</w:t>
      </w:r>
      <w:r w:rsidRPr="00B22946">
        <w:rPr>
          <w:rFonts w:cs="Times New Roman"/>
          <w:szCs w:val="24"/>
        </w:rPr>
        <w:t xml:space="preserve"> of medication administration rather than orally as</w:t>
      </w:r>
      <w:r w:rsidR="0046687C">
        <w:rPr>
          <w:rFonts w:cs="Times New Roman"/>
          <w:szCs w:val="24"/>
        </w:rPr>
        <w:t xml:space="preserve"> </w:t>
      </w:r>
      <w:r w:rsidRPr="00B22946">
        <w:rPr>
          <w:rFonts w:cs="Times New Roman"/>
          <w:szCs w:val="24"/>
        </w:rPr>
        <w:t>patient</w:t>
      </w:r>
      <w:r w:rsidR="00A9787F" w:rsidRPr="00B22946">
        <w:rPr>
          <w:rFonts w:cs="Times New Roman"/>
          <w:szCs w:val="24"/>
        </w:rPr>
        <w:t>s sometimes forgets their</w:t>
      </w:r>
      <w:r w:rsidRPr="00B22946">
        <w:rPr>
          <w:rFonts w:cs="Times New Roman"/>
          <w:szCs w:val="24"/>
        </w:rPr>
        <w:t xml:space="preserve"> eye and </w:t>
      </w:r>
      <w:r w:rsidR="005D0D97" w:rsidRPr="00B22946">
        <w:rPr>
          <w:rFonts w:cs="Times New Roman"/>
          <w:szCs w:val="24"/>
        </w:rPr>
        <w:t>eardrops</w:t>
      </w:r>
      <w:r w:rsidRPr="00B22946">
        <w:rPr>
          <w:rFonts w:cs="Times New Roman"/>
          <w:szCs w:val="24"/>
        </w:rPr>
        <w:t>, topical creams, and scalp lotion or</w:t>
      </w:r>
      <w:r w:rsidR="001A46FA">
        <w:rPr>
          <w:rFonts w:cs="Times New Roman"/>
          <w:szCs w:val="24"/>
        </w:rPr>
        <w:t xml:space="preserve"> </w:t>
      </w:r>
      <w:r w:rsidRPr="00B22946">
        <w:rPr>
          <w:rFonts w:cs="Times New Roman"/>
          <w:szCs w:val="24"/>
        </w:rPr>
        <w:t>inhalation puffs</w:t>
      </w:r>
      <w:r w:rsidR="008337A2" w:rsidRPr="00B22946">
        <w:rPr>
          <w:rFonts w:cs="Times New Roman"/>
          <w:szCs w:val="24"/>
        </w:rPr>
        <w:t>(Nickless et al. 2009).</w:t>
      </w:r>
      <w:r w:rsidRPr="00B22946">
        <w:rPr>
          <w:rFonts w:cs="Times New Roman"/>
          <w:szCs w:val="24"/>
        </w:rPr>
        <w:t>.Asking for par</w:t>
      </w:r>
      <w:r w:rsidR="005910EA" w:rsidRPr="00B22946">
        <w:rPr>
          <w:rFonts w:cs="Times New Roman"/>
          <w:szCs w:val="24"/>
        </w:rPr>
        <w:t xml:space="preserve">ticular disease medication such as what they take for </w:t>
      </w:r>
      <w:r w:rsidRPr="00B22946">
        <w:rPr>
          <w:rFonts w:cs="Times New Roman"/>
          <w:szCs w:val="24"/>
        </w:rPr>
        <w:t>hypertension,</w:t>
      </w:r>
      <w:r w:rsidR="005910EA" w:rsidRPr="00B22946">
        <w:rPr>
          <w:rFonts w:cs="Times New Roman"/>
          <w:szCs w:val="24"/>
        </w:rPr>
        <w:t xml:space="preserve"> diabetes, or hypothyroidism helps the patient remember any special conditions they have.</w:t>
      </w:r>
      <w:r w:rsidR="00785193" w:rsidRPr="00B22946">
        <w:rPr>
          <w:rFonts w:cs="Times New Roman"/>
          <w:szCs w:val="24"/>
        </w:rPr>
        <w:t xml:space="preserve"> The health care professional also ought to know the doctor that prescribes drugs to the patient and their title.</w:t>
      </w:r>
      <w:r w:rsidR="00485D8E" w:rsidRPr="00B22946">
        <w:rPr>
          <w:rFonts w:cs="Times New Roman"/>
          <w:szCs w:val="24"/>
        </w:rPr>
        <w:t xml:space="preserve"> The caregiver </w:t>
      </w:r>
      <w:r w:rsidRPr="00B22946">
        <w:rPr>
          <w:rFonts w:cs="Times New Roman"/>
          <w:szCs w:val="24"/>
        </w:rPr>
        <w:t>should</w:t>
      </w:r>
      <w:r w:rsidR="00485D8E" w:rsidRPr="00B22946">
        <w:rPr>
          <w:rFonts w:cs="Times New Roman"/>
          <w:szCs w:val="24"/>
        </w:rPr>
        <w:t xml:space="preserve"> know that the patient almost fails</w:t>
      </w:r>
      <w:r w:rsidRPr="00B22946">
        <w:rPr>
          <w:rFonts w:cs="Times New Roman"/>
          <w:szCs w:val="24"/>
        </w:rPr>
        <w:t xml:space="preserve"> to remember his regular medicatio</w:t>
      </w:r>
      <w:r w:rsidR="00772860" w:rsidRPr="00B22946">
        <w:rPr>
          <w:rFonts w:cs="Times New Roman"/>
          <w:szCs w:val="24"/>
        </w:rPr>
        <w:t>n l</w:t>
      </w:r>
      <w:r w:rsidRPr="00B22946">
        <w:rPr>
          <w:rFonts w:cs="Times New Roman"/>
          <w:szCs w:val="24"/>
        </w:rPr>
        <w:t>ike monthly medicines</w:t>
      </w:r>
      <w:r w:rsidR="00165CD9" w:rsidRPr="00B22946">
        <w:rPr>
          <w:rFonts w:cs="Times New Roman"/>
          <w:szCs w:val="24"/>
        </w:rPr>
        <w:t>. The</w:t>
      </w:r>
      <w:r w:rsidRPr="00B22946">
        <w:rPr>
          <w:rFonts w:cs="Times New Roman"/>
          <w:szCs w:val="24"/>
        </w:rPr>
        <w:t xml:space="preserve"> health care professional can remind the patient by describing the medicine by</w:t>
      </w:r>
      <w:r w:rsidR="0046687C">
        <w:rPr>
          <w:rFonts w:cs="Times New Roman"/>
          <w:szCs w:val="24"/>
        </w:rPr>
        <w:t xml:space="preserve"> </w:t>
      </w:r>
      <w:r w:rsidRPr="00B22946">
        <w:rPr>
          <w:rFonts w:cs="Times New Roman"/>
          <w:szCs w:val="24"/>
        </w:rPr>
        <w:t xml:space="preserve">asking him about the medicine color, shape, and size. Calling a community pharmacist and patient caregiver can help in determining the medication more quickly. </w:t>
      </w:r>
    </w:p>
    <w:p w:rsidR="00DE1F3E" w:rsidRPr="00B22946" w:rsidRDefault="007E751B" w:rsidP="00B22946">
      <w:pPr>
        <w:spacing w:line="480" w:lineRule="auto"/>
        <w:rPr>
          <w:rFonts w:cs="Times New Roman"/>
          <w:szCs w:val="24"/>
        </w:rPr>
      </w:pPr>
      <w:r w:rsidRPr="00B22946">
        <w:rPr>
          <w:rFonts w:cs="Times New Roman"/>
          <w:szCs w:val="24"/>
        </w:rPr>
        <w:t>To evaluate patient adherence to drug prescription</w:t>
      </w:r>
      <w:r w:rsidR="00650816" w:rsidRPr="00B22946">
        <w:rPr>
          <w:rFonts w:cs="Times New Roman"/>
          <w:szCs w:val="24"/>
        </w:rPr>
        <w:t>s</w:t>
      </w:r>
      <w:r w:rsidRPr="00B22946">
        <w:rPr>
          <w:rFonts w:cs="Times New Roman"/>
          <w:szCs w:val="24"/>
        </w:rPr>
        <w:t xml:space="preserve">, the health provider asks the following questions such as whether there is </w:t>
      </w:r>
      <w:r w:rsidR="00C376E1" w:rsidRPr="00B22946">
        <w:rPr>
          <w:rFonts w:cs="Times New Roman"/>
          <w:szCs w:val="24"/>
        </w:rPr>
        <w:t xml:space="preserve">any prescribed medication </w:t>
      </w:r>
      <w:r w:rsidRPr="00B22946">
        <w:rPr>
          <w:rFonts w:cs="Times New Roman"/>
          <w:szCs w:val="24"/>
        </w:rPr>
        <w:t>they failed to</w:t>
      </w:r>
      <w:r w:rsidR="00E721A5" w:rsidRPr="00B22946">
        <w:rPr>
          <w:rFonts w:cs="Times New Roman"/>
          <w:szCs w:val="24"/>
        </w:rPr>
        <w:t xml:space="preserve"> buy</w:t>
      </w:r>
      <w:r w:rsidR="00DE1F3E" w:rsidRPr="00B22946">
        <w:rPr>
          <w:rFonts w:cs="Times New Roman"/>
          <w:szCs w:val="24"/>
        </w:rPr>
        <w:t xml:space="preserve"> because it is expensive</w:t>
      </w:r>
      <w:r w:rsidR="00C376E1" w:rsidRPr="00B22946">
        <w:rPr>
          <w:rFonts w:cs="Times New Roman"/>
          <w:szCs w:val="24"/>
        </w:rPr>
        <w:t xml:space="preserve"> or whether there any medication that the patient finds it difficult to take may be due to taste or side effect</w:t>
      </w:r>
      <w:r w:rsidR="00CD459A" w:rsidRPr="00B22946">
        <w:rPr>
          <w:rFonts w:cs="Times New Roman"/>
          <w:szCs w:val="24"/>
        </w:rPr>
        <w:t>s</w:t>
      </w:r>
      <w:r w:rsidR="008337A2" w:rsidRPr="00B22946">
        <w:rPr>
          <w:rFonts w:cs="Times New Roman"/>
          <w:szCs w:val="24"/>
        </w:rPr>
        <w:t xml:space="preserve"> (Bondesson et al. 2012)</w:t>
      </w:r>
      <w:r w:rsidR="00CD459A" w:rsidRPr="00B22946">
        <w:rPr>
          <w:rFonts w:cs="Times New Roman"/>
          <w:szCs w:val="24"/>
        </w:rPr>
        <w:t>.</w:t>
      </w:r>
      <w:r w:rsidR="00DE1F3E" w:rsidRPr="00B22946">
        <w:rPr>
          <w:rFonts w:cs="Times New Roman"/>
          <w:szCs w:val="24"/>
        </w:rPr>
        <w:t>By using some extra question</w:t>
      </w:r>
      <w:r w:rsidR="00E62B75" w:rsidRPr="00B22946">
        <w:rPr>
          <w:rFonts w:cs="Times New Roman"/>
          <w:szCs w:val="24"/>
        </w:rPr>
        <w:t>s</w:t>
      </w:r>
      <w:r w:rsidR="00DE1F3E" w:rsidRPr="00B22946">
        <w:rPr>
          <w:rFonts w:cs="Times New Roman"/>
          <w:szCs w:val="24"/>
        </w:rPr>
        <w:t>,</w:t>
      </w:r>
      <w:r w:rsidR="00E62B75" w:rsidRPr="00B22946">
        <w:rPr>
          <w:rFonts w:cs="Times New Roman"/>
          <w:szCs w:val="24"/>
        </w:rPr>
        <w:t xml:space="preserve"> the provider can</w:t>
      </w:r>
      <w:r w:rsidR="00DE1F3E" w:rsidRPr="00B22946">
        <w:rPr>
          <w:rFonts w:cs="Times New Roman"/>
          <w:szCs w:val="24"/>
        </w:rPr>
        <w:t xml:space="preserve"> identify the patient over the counter</w:t>
      </w:r>
      <w:r w:rsidR="00E62B75" w:rsidRPr="00B22946">
        <w:rPr>
          <w:rFonts w:cs="Times New Roman"/>
          <w:szCs w:val="24"/>
        </w:rPr>
        <w:t xml:space="preserve"> medication that; for instance, the medication they take when having a cold, whether they take vitamin supplements, or the painkillers they take for a headache or any ache in the body</w:t>
      </w:r>
      <w:r w:rsidR="008337A2" w:rsidRPr="00B22946">
        <w:rPr>
          <w:rFonts w:cs="Times New Roman"/>
          <w:szCs w:val="24"/>
        </w:rPr>
        <w:t>(Bondesson et al. 2012).</w:t>
      </w:r>
      <w:r w:rsidR="006B7D5C">
        <w:rPr>
          <w:rFonts w:cs="Times New Roman"/>
          <w:szCs w:val="24"/>
        </w:rPr>
        <w:t xml:space="preserve"> However, not all patients </w:t>
      </w:r>
      <w:r w:rsidR="00650816" w:rsidRPr="00B22946">
        <w:rPr>
          <w:rFonts w:cs="Times New Roman"/>
          <w:szCs w:val="24"/>
        </w:rPr>
        <w:t>readily give their medication history; confused, aggressive, deaf, or those who are unable to language of the caregiver pose a challenge in the interview.</w:t>
      </w:r>
    </w:p>
    <w:p w:rsidR="00F42315" w:rsidRPr="00F42315" w:rsidRDefault="00F42315" w:rsidP="00B22946">
      <w:pPr>
        <w:spacing w:line="480" w:lineRule="auto"/>
        <w:rPr>
          <w:rFonts w:cs="Times New Roman"/>
          <w:b/>
          <w:szCs w:val="24"/>
        </w:rPr>
      </w:pPr>
      <w:r w:rsidRPr="00F42315">
        <w:rPr>
          <w:rFonts w:cs="Times New Roman"/>
          <w:b/>
          <w:szCs w:val="24"/>
        </w:rPr>
        <w:t>Reason for Inaccurate Patient Medication History at Admission</w:t>
      </w:r>
    </w:p>
    <w:p w:rsidR="008337A2" w:rsidRPr="00B22946" w:rsidRDefault="008337A2" w:rsidP="00B22946">
      <w:pPr>
        <w:spacing w:line="480" w:lineRule="auto"/>
        <w:rPr>
          <w:rFonts w:cs="Times New Roman"/>
          <w:szCs w:val="24"/>
        </w:rPr>
      </w:pPr>
      <w:r w:rsidRPr="00B22946">
        <w:rPr>
          <w:rFonts w:cs="Times New Roman"/>
          <w:szCs w:val="24"/>
        </w:rPr>
        <w:t>Patient history discrepancy can found in any recorded medication sources such as the patient medical record, outpatient clinic or, medication bottles label ( Gleason et al., 2004). There are many barriers to collecting and recording accurate medication histories. These barriers may be related to the patient (patient education, illness, and adherence to recording his medication), medication, health care professional who collect the information, or the electronic medical system (Tam et al. 2005). The risk of medication history discrepancy increases for patients who receives high alert medications. A multivariable logistic regression model found the risk of medication errors at admission increased with the absence of any health care service for the patient before admission (Bondesson et al. 2012).</w:t>
      </w:r>
    </w:p>
    <w:p w:rsidR="007E46F0" w:rsidRPr="00B22946" w:rsidRDefault="007E46F0" w:rsidP="00B22946">
      <w:pPr>
        <w:pStyle w:val="Heading3"/>
        <w:spacing w:line="480" w:lineRule="auto"/>
        <w:rPr>
          <w:rFonts w:ascii="Times New Roman" w:hAnsi="Times New Roman" w:cs="Times New Roman"/>
          <w:color w:val="auto"/>
          <w:szCs w:val="24"/>
          <w:u w:val="single"/>
        </w:rPr>
      </w:pPr>
      <w:bookmarkStart w:id="2" w:name="_Toc15143757"/>
      <w:r w:rsidRPr="00B22946">
        <w:rPr>
          <w:rFonts w:ascii="Times New Roman" w:hAnsi="Times New Roman" w:cs="Times New Roman"/>
          <w:color w:val="auto"/>
          <w:szCs w:val="24"/>
          <w:u w:val="single"/>
        </w:rPr>
        <w:t>Patient Medication List</w:t>
      </w:r>
      <w:bookmarkEnd w:id="2"/>
    </w:p>
    <w:p w:rsidR="00DE1F3E" w:rsidRPr="00B22946" w:rsidRDefault="007E46F0" w:rsidP="00B22946">
      <w:pPr>
        <w:spacing w:line="480" w:lineRule="auto"/>
        <w:rPr>
          <w:rFonts w:cs="Times New Roman"/>
          <w:szCs w:val="24"/>
        </w:rPr>
      </w:pPr>
      <w:r w:rsidRPr="00B22946">
        <w:rPr>
          <w:rFonts w:cs="Times New Roman"/>
          <w:szCs w:val="24"/>
        </w:rPr>
        <w:t>Patient Medication List (PML) is another source of patient medication history. The patient receives a copy of PM</w:t>
      </w:r>
      <w:r w:rsidR="00DE1F3E" w:rsidRPr="00B22946">
        <w:rPr>
          <w:rFonts w:cs="Times New Roman"/>
          <w:szCs w:val="24"/>
        </w:rPr>
        <w:t xml:space="preserve">L when </w:t>
      </w:r>
      <w:r w:rsidRPr="00B22946">
        <w:rPr>
          <w:rFonts w:cs="Times New Roman"/>
          <w:szCs w:val="24"/>
        </w:rPr>
        <w:t xml:space="preserve">being </w:t>
      </w:r>
      <w:r w:rsidR="00DE1F3E" w:rsidRPr="00B22946">
        <w:rPr>
          <w:rFonts w:cs="Times New Roman"/>
          <w:szCs w:val="24"/>
        </w:rPr>
        <w:t>discharg</w:t>
      </w:r>
      <w:r w:rsidRPr="00B22946">
        <w:rPr>
          <w:rFonts w:cs="Times New Roman"/>
          <w:szCs w:val="24"/>
        </w:rPr>
        <w:t>ed</w:t>
      </w:r>
      <w:r w:rsidR="00DE1F3E" w:rsidRPr="00B22946">
        <w:rPr>
          <w:rFonts w:cs="Times New Roman"/>
          <w:szCs w:val="24"/>
        </w:rPr>
        <w:t xml:space="preserve"> from the hospital or</w:t>
      </w:r>
      <w:r w:rsidR="00E71B2B">
        <w:rPr>
          <w:rFonts w:cs="Times New Roman"/>
          <w:szCs w:val="24"/>
        </w:rPr>
        <w:t xml:space="preserve"> </w:t>
      </w:r>
      <w:r w:rsidR="00DE1F3E" w:rsidRPr="00B22946">
        <w:rPr>
          <w:rFonts w:cs="Times New Roman"/>
          <w:szCs w:val="24"/>
        </w:rPr>
        <w:t>at</w:t>
      </w:r>
      <w:r w:rsidR="0043481A" w:rsidRPr="00B22946">
        <w:rPr>
          <w:rFonts w:cs="Times New Roman"/>
          <w:szCs w:val="24"/>
        </w:rPr>
        <w:t xml:space="preserve"> the end of the outpatient visit. This copy provides</w:t>
      </w:r>
      <w:r w:rsidRPr="00B22946">
        <w:rPr>
          <w:rFonts w:cs="Times New Roman"/>
          <w:szCs w:val="24"/>
        </w:rPr>
        <w:t xml:space="preserve"> update</w:t>
      </w:r>
      <w:r w:rsidR="0043481A" w:rsidRPr="00B22946">
        <w:rPr>
          <w:rFonts w:cs="Times New Roman"/>
          <w:szCs w:val="24"/>
        </w:rPr>
        <w:t>s</w:t>
      </w:r>
      <w:r w:rsidR="00DE1F3E" w:rsidRPr="00B22946">
        <w:rPr>
          <w:rFonts w:cs="Times New Roman"/>
          <w:szCs w:val="24"/>
        </w:rPr>
        <w:t xml:space="preserve"> if there is any medication discontinued, </w:t>
      </w:r>
      <w:r w:rsidR="00C54ACB" w:rsidRPr="00B22946">
        <w:rPr>
          <w:rFonts w:cs="Times New Roman"/>
          <w:szCs w:val="24"/>
        </w:rPr>
        <w:t>dose,</w:t>
      </w:r>
      <w:r w:rsidR="00DE1F3E" w:rsidRPr="00B22946">
        <w:rPr>
          <w:rFonts w:cs="Times New Roman"/>
          <w:szCs w:val="24"/>
        </w:rPr>
        <w:t xml:space="preserve"> or frequency changed, </w:t>
      </w:r>
      <w:r w:rsidR="0043481A" w:rsidRPr="00B22946">
        <w:rPr>
          <w:rFonts w:cs="Times New Roman"/>
          <w:szCs w:val="24"/>
        </w:rPr>
        <w:t>or</w:t>
      </w:r>
      <w:r w:rsidR="00E71B2B">
        <w:rPr>
          <w:rFonts w:cs="Times New Roman"/>
          <w:szCs w:val="24"/>
        </w:rPr>
        <w:t xml:space="preserve"> </w:t>
      </w:r>
      <w:r w:rsidR="00DE1F3E" w:rsidRPr="00B22946">
        <w:rPr>
          <w:rFonts w:cs="Times New Roman"/>
          <w:szCs w:val="24"/>
        </w:rPr>
        <w:t>OTC medication</w:t>
      </w:r>
      <w:r w:rsidR="0043481A" w:rsidRPr="00B22946">
        <w:rPr>
          <w:rFonts w:cs="Times New Roman"/>
          <w:szCs w:val="24"/>
        </w:rPr>
        <w:t xml:space="preserve"> added </w:t>
      </w:r>
      <w:r w:rsidR="00DE1F3E" w:rsidRPr="00B22946">
        <w:rPr>
          <w:rFonts w:cs="Times New Roman"/>
          <w:szCs w:val="24"/>
        </w:rPr>
        <w:t>(Helga Brake et al</w:t>
      </w:r>
      <w:r w:rsidRPr="00B22946">
        <w:rPr>
          <w:rFonts w:cs="Times New Roman"/>
          <w:szCs w:val="24"/>
        </w:rPr>
        <w:t>.</w:t>
      </w:r>
      <w:r w:rsidR="00DE1F3E" w:rsidRPr="00B22946">
        <w:rPr>
          <w:rFonts w:cs="Times New Roman"/>
          <w:szCs w:val="24"/>
        </w:rPr>
        <w:t xml:space="preserve"> 2012)</w:t>
      </w:r>
      <w:r w:rsidR="00493DB0" w:rsidRPr="00B22946">
        <w:rPr>
          <w:rFonts w:cs="Times New Roman"/>
          <w:szCs w:val="24"/>
        </w:rPr>
        <w:t>.</w:t>
      </w:r>
      <w:r w:rsidR="00BE2E53" w:rsidRPr="00B22946">
        <w:rPr>
          <w:rFonts w:cs="Times New Roman"/>
          <w:szCs w:val="24"/>
        </w:rPr>
        <w:t xml:space="preserve"> An e</w:t>
      </w:r>
      <w:r w:rsidR="00DE1F3E" w:rsidRPr="00B22946">
        <w:rPr>
          <w:rFonts w:cs="Times New Roman"/>
          <w:szCs w:val="24"/>
        </w:rPr>
        <w:t>lectronic P</w:t>
      </w:r>
      <w:r w:rsidR="00BE2E53" w:rsidRPr="00B22946">
        <w:rPr>
          <w:rFonts w:cs="Times New Roman"/>
          <w:szCs w:val="24"/>
        </w:rPr>
        <w:t>M</w:t>
      </w:r>
      <w:r w:rsidR="00DE1F3E" w:rsidRPr="00B22946">
        <w:rPr>
          <w:rFonts w:cs="Times New Roman"/>
          <w:szCs w:val="24"/>
        </w:rPr>
        <w:t>L</w:t>
      </w:r>
      <w:r w:rsidR="009C326B" w:rsidRPr="00B22946">
        <w:rPr>
          <w:rFonts w:cs="Times New Roman"/>
          <w:szCs w:val="24"/>
        </w:rPr>
        <w:t xml:space="preserve"> should be stored in </w:t>
      </w:r>
      <w:r w:rsidR="00DE1F3E" w:rsidRPr="00B22946">
        <w:rPr>
          <w:rFonts w:cs="Times New Roman"/>
          <w:szCs w:val="24"/>
        </w:rPr>
        <w:t>inpatient medication records in health</w:t>
      </w:r>
      <w:r w:rsidR="00E71B2B">
        <w:rPr>
          <w:rFonts w:cs="Times New Roman"/>
          <w:szCs w:val="24"/>
        </w:rPr>
        <w:t xml:space="preserve"> </w:t>
      </w:r>
      <w:r w:rsidR="00DE1F3E" w:rsidRPr="00B22946">
        <w:rPr>
          <w:rFonts w:cs="Times New Roman"/>
          <w:szCs w:val="24"/>
        </w:rPr>
        <w:t xml:space="preserve">system in a </w:t>
      </w:r>
      <w:r w:rsidR="009C326B" w:rsidRPr="00B22946">
        <w:rPr>
          <w:rFonts w:cs="Times New Roman"/>
          <w:szCs w:val="24"/>
        </w:rPr>
        <w:t>way that can be accessed by healthcare provider involved in future treatment for the patient</w:t>
      </w:r>
      <w:r w:rsidR="00DE1F3E" w:rsidRPr="00B22946">
        <w:rPr>
          <w:rFonts w:cs="Times New Roman"/>
          <w:szCs w:val="24"/>
        </w:rPr>
        <w:t xml:space="preserve"> (Ministry of</w:t>
      </w:r>
      <w:r w:rsidR="00E71B2B">
        <w:rPr>
          <w:rFonts w:cs="Times New Roman"/>
          <w:szCs w:val="24"/>
        </w:rPr>
        <w:t xml:space="preserve"> Health </w:t>
      </w:r>
      <w:r w:rsidR="00381A5C" w:rsidRPr="00B22946">
        <w:rPr>
          <w:rFonts w:cs="Times New Roman"/>
          <w:szCs w:val="24"/>
        </w:rPr>
        <w:t>Singapore 2018).</w:t>
      </w:r>
      <w:r w:rsidR="00DE1F3E" w:rsidRPr="00B22946">
        <w:rPr>
          <w:rFonts w:cs="Times New Roman"/>
          <w:szCs w:val="24"/>
        </w:rPr>
        <w:t>Before health care provider</w:t>
      </w:r>
      <w:r w:rsidR="0077597A" w:rsidRPr="00B22946">
        <w:rPr>
          <w:rFonts w:cs="Times New Roman"/>
          <w:szCs w:val="24"/>
        </w:rPr>
        <w:t>s</w:t>
      </w:r>
      <w:r w:rsidR="000470B0" w:rsidRPr="00B22946">
        <w:rPr>
          <w:rFonts w:cs="Times New Roman"/>
          <w:szCs w:val="24"/>
        </w:rPr>
        <w:t xml:space="preserve"> can </w:t>
      </w:r>
      <w:r w:rsidR="00DE1F3E" w:rsidRPr="00B22946">
        <w:rPr>
          <w:rFonts w:cs="Times New Roman"/>
          <w:szCs w:val="24"/>
        </w:rPr>
        <w:t>start</w:t>
      </w:r>
      <w:r w:rsidR="002C692F" w:rsidRPr="00B22946">
        <w:rPr>
          <w:rFonts w:cs="Times New Roman"/>
          <w:szCs w:val="24"/>
        </w:rPr>
        <w:t xml:space="preserve"> using electronic P</w:t>
      </w:r>
      <w:r w:rsidR="00DE1F3E" w:rsidRPr="00B22946">
        <w:rPr>
          <w:rFonts w:cs="Times New Roman"/>
          <w:szCs w:val="24"/>
        </w:rPr>
        <w:t>ML</w:t>
      </w:r>
      <w:r w:rsidR="0077597A" w:rsidRPr="00B22946">
        <w:rPr>
          <w:rFonts w:cs="Times New Roman"/>
          <w:szCs w:val="24"/>
        </w:rPr>
        <w:t>, they</w:t>
      </w:r>
      <w:r w:rsidR="003B06D7">
        <w:rPr>
          <w:rFonts w:cs="Times New Roman"/>
          <w:szCs w:val="24"/>
        </w:rPr>
        <w:t xml:space="preserve"> should review the following:</w:t>
      </w:r>
    </w:p>
    <w:p w:rsidR="006E3302" w:rsidRPr="00B22946" w:rsidRDefault="006E3302" w:rsidP="00B22946">
      <w:pPr>
        <w:pStyle w:val="ListParagraph"/>
        <w:numPr>
          <w:ilvl w:val="0"/>
          <w:numId w:val="36"/>
        </w:numPr>
        <w:spacing w:line="480" w:lineRule="auto"/>
        <w:rPr>
          <w:rFonts w:cs="Times New Roman"/>
          <w:szCs w:val="24"/>
        </w:rPr>
      </w:pPr>
      <w:r w:rsidRPr="00B22946">
        <w:rPr>
          <w:rFonts w:cs="Times New Roman"/>
          <w:szCs w:val="24"/>
        </w:rPr>
        <w:t>Date and time that the P</w:t>
      </w:r>
      <w:r w:rsidR="00DE1F3E" w:rsidRPr="00B22946">
        <w:rPr>
          <w:rFonts w:cs="Times New Roman"/>
          <w:szCs w:val="24"/>
        </w:rPr>
        <w:t>M</w:t>
      </w:r>
      <w:r w:rsidRPr="00B22946">
        <w:rPr>
          <w:rFonts w:cs="Times New Roman"/>
          <w:szCs w:val="24"/>
        </w:rPr>
        <w:t>L</w:t>
      </w:r>
      <w:r w:rsidR="00DE1F3E" w:rsidRPr="00B22946">
        <w:rPr>
          <w:rFonts w:cs="Times New Roman"/>
          <w:szCs w:val="24"/>
        </w:rPr>
        <w:t xml:space="preserve"> had been completed</w:t>
      </w:r>
    </w:p>
    <w:p w:rsidR="006E3302" w:rsidRPr="00B22946" w:rsidRDefault="006E3302" w:rsidP="00B22946">
      <w:pPr>
        <w:pStyle w:val="ListParagraph"/>
        <w:numPr>
          <w:ilvl w:val="0"/>
          <w:numId w:val="36"/>
        </w:numPr>
        <w:spacing w:line="480" w:lineRule="auto"/>
        <w:rPr>
          <w:rFonts w:cs="Times New Roman"/>
          <w:szCs w:val="24"/>
        </w:rPr>
      </w:pPr>
      <w:r w:rsidRPr="00B22946">
        <w:rPr>
          <w:rFonts w:cs="Times New Roman"/>
          <w:szCs w:val="24"/>
        </w:rPr>
        <w:t>Details of the health care provider who updated</w:t>
      </w:r>
      <w:r w:rsidR="00E71B2B">
        <w:rPr>
          <w:rFonts w:cs="Times New Roman"/>
          <w:szCs w:val="24"/>
        </w:rPr>
        <w:t xml:space="preserve"> </w:t>
      </w:r>
      <w:r w:rsidRPr="00B22946">
        <w:rPr>
          <w:rFonts w:cs="Times New Roman"/>
          <w:szCs w:val="24"/>
        </w:rPr>
        <w:t>the P</w:t>
      </w:r>
      <w:r w:rsidR="00DE1F3E" w:rsidRPr="00B22946">
        <w:rPr>
          <w:rFonts w:cs="Times New Roman"/>
          <w:szCs w:val="24"/>
        </w:rPr>
        <w:t>M</w:t>
      </w:r>
      <w:r w:rsidRPr="00B22946">
        <w:rPr>
          <w:rFonts w:cs="Times New Roman"/>
          <w:szCs w:val="24"/>
        </w:rPr>
        <w:t>L</w:t>
      </w:r>
      <w:r w:rsidR="00DE1F3E" w:rsidRPr="00B22946">
        <w:rPr>
          <w:rFonts w:cs="Times New Roman"/>
          <w:szCs w:val="24"/>
        </w:rPr>
        <w:t xml:space="preserve"> (Name, Especially and</w:t>
      </w:r>
      <w:r w:rsidR="00E71B2B">
        <w:rPr>
          <w:rFonts w:cs="Times New Roman"/>
          <w:szCs w:val="24"/>
        </w:rPr>
        <w:t xml:space="preserve"> </w:t>
      </w:r>
      <w:r w:rsidR="00DE1F3E" w:rsidRPr="00B22946">
        <w:rPr>
          <w:rFonts w:cs="Times New Roman"/>
          <w:szCs w:val="24"/>
        </w:rPr>
        <w:t>foundation)</w:t>
      </w:r>
    </w:p>
    <w:p w:rsidR="000740C9" w:rsidRPr="00B22946" w:rsidRDefault="00DE1F3E" w:rsidP="00B22946">
      <w:pPr>
        <w:pStyle w:val="ListParagraph"/>
        <w:numPr>
          <w:ilvl w:val="0"/>
          <w:numId w:val="36"/>
        </w:numPr>
        <w:spacing w:line="480" w:lineRule="auto"/>
        <w:rPr>
          <w:rFonts w:cs="Times New Roman"/>
          <w:szCs w:val="24"/>
        </w:rPr>
      </w:pPr>
      <w:r w:rsidRPr="00B22946">
        <w:rPr>
          <w:rFonts w:cs="Times New Roman"/>
          <w:szCs w:val="24"/>
        </w:rPr>
        <w:t xml:space="preserve"> Reason for updating (Admission, discharge transfer from medication care unit to</w:t>
      </w:r>
      <w:r w:rsidR="00E71B2B">
        <w:rPr>
          <w:rFonts w:cs="Times New Roman"/>
          <w:szCs w:val="24"/>
        </w:rPr>
        <w:t xml:space="preserve"> </w:t>
      </w:r>
      <w:r w:rsidRPr="00B22946">
        <w:rPr>
          <w:rFonts w:cs="Times New Roman"/>
          <w:szCs w:val="24"/>
        </w:rPr>
        <w:t>another one, home visit)</w:t>
      </w:r>
    </w:p>
    <w:p w:rsidR="000740C9" w:rsidRPr="00B22946" w:rsidRDefault="00DE1F3E" w:rsidP="00B22946">
      <w:pPr>
        <w:pStyle w:val="ListParagraph"/>
        <w:numPr>
          <w:ilvl w:val="0"/>
          <w:numId w:val="36"/>
        </w:numPr>
        <w:spacing w:line="480" w:lineRule="auto"/>
        <w:rPr>
          <w:rFonts w:cs="Times New Roman"/>
          <w:szCs w:val="24"/>
        </w:rPr>
      </w:pPr>
      <w:r w:rsidRPr="00B22946">
        <w:rPr>
          <w:rFonts w:cs="Times New Roman"/>
          <w:szCs w:val="24"/>
        </w:rPr>
        <w:t>Source of updated information (patient, caregiver, medication inspection or after</w:t>
      </w:r>
      <w:r w:rsidR="00E71B2B">
        <w:rPr>
          <w:rFonts w:cs="Times New Roman"/>
          <w:szCs w:val="24"/>
        </w:rPr>
        <w:t xml:space="preserve"> </w:t>
      </w:r>
      <w:r w:rsidRPr="00B22946">
        <w:rPr>
          <w:rFonts w:cs="Times New Roman"/>
          <w:szCs w:val="24"/>
        </w:rPr>
        <w:t>contacting with another caregiver)</w:t>
      </w:r>
    </w:p>
    <w:p w:rsidR="00850013" w:rsidRPr="00B22946" w:rsidRDefault="00301D37" w:rsidP="00B22946">
      <w:pPr>
        <w:spacing w:line="480" w:lineRule="auto"/>
        <w:rPr>
          <w:rFonts w:cs="Times New Roman"/>
          <w:szCs w:val="24"/>
        </w:rPr>
      </w:pPr>
      <w:r w:rsidRPr="00B22946">
        <w:rPr>
          <w:rFonts w:cs="Times New Roman"/>
          <w:szCs w:val="24"/>
        </w:rPr>
        <w:t>Also, before using that P</w:t>
      </w:r>
      <w:r w:rsidR="00DE1F3E" w:rsidRPr="00B22946">
        <w:rPr>
          <w:rFonts w:cs="Times New Roman"/>
          <w:szCs w:val="24"/>
        </w:rPr>
        <w:t>ML</w:t>
      </w:r>
      <w:r w:rsidRPr="00B22946">
        <w:rPr>
          <w:rFonts w:cs="Times New Roman"/>
          <w:szCs w:val="24"/>
        </w:rPr>
        <w:t>, the physician should verify it</w:t>
      </w:r>
      <w:r w:rsidR="00DE1F3E" w:rsidRPr="00B22946">
        <w:rPr>
          <w:rFonts w:cs="Times New Roman"/>
          <w:szCs w:val="24"/>
        </w:rPr>
        <w:t xml:space="preserve"> with the latest </w:t>
      </w:r>
      <w:r w:rsidR="00795C60" w:rsidRPr="00B22946">
        <w:rPr>
          <w:rFonts w:cs="Times New Roman"/>
          <w:szCs w:val="24"/>
        </w:rPr>
        <w:t>s</w:t>
      </w:r>
      <w:r w:rsidRPr="00B22946">
        <w:rPr>
          <w:rFonts w:cs="Times New Roman"/>
          <w:szCs w:val="24"/>
        </w:rPr>
        <w:t>ource of updates</w:t>
      </w:r>
      <w:r w:rsidR="00DE1F3E" w:rsidRPr="00B22946">
        <w:rPr>
          <w:rFonts w:cs="Times New Roman"/>
          <w:szCs w:val="24"/>
        </w:rPr>
        <w:t xml:space="preserve"> or patient or his caregiver ( Ministry of health, Singapore 2018)</w:t>
      </w:r>
      <w:r w:rsidRPr="00B22946">
        <w:rPr>
          <w:rFonts w:cs="Times New Roman"/>
          <w:szCs w:val="24"/>
        </w:rPr>
        <w:t xml:space="preserve">. For </w:t>
      </w:r>
      <w:r w:rsidR="00DE1F3E" w:rsidRPr="00B22946">
        <w:rPr>
          <w:rFonts w:cs="Times New Roman"/>
          <w:szCs w:val="24"/>
        </w:rPr>
        <w:t>patient</w:t>
      </w:r>
      <w:r w:rsidRPr="00B22946">
        <w:rPr>
          <w:rFonts w:cs="Times New Roman"/>
          <w:szCs w:val="24"/>
        </w:rPr>
        <w:t xml:space="preserve">s with </w:t>
      </w:r>
      <w:r w:rsidR="00DE1F3E" w:rsidRPr="00B22946">
        <w:rPr>
          <w:rFonts w:cs="Times New Roman"/>
          <w:szCs w:val="24"/>
        </w:rPr>
        <w:t>advanced appointment</w:t>
      </w:r>
      <w:r w:rsidRPr="00B22946">
        <w:rPr>
          <w:rFonts w:cs="Times New Roman"/>
          <w:szCs w:val="24"/>
        </w:rPr>
        <w:t>s</w:t>
      </w:r>
      <w:r w:rsidR="00DE1F3E" w:rsidRPr="00B22946">
        <w:rPr>
          <w:rFonts w:cs="Times New Roman"/>
          <w:szCs w:val="24"/>
        </w:rPr>
        <w:t xml:space="preserve"> for admission or scheduled in advance for surgery </w:t>
      </w:r>
      <w:r w:rsidRPr="00B22946">
        <w:rPr>
          <w:rFonts w:cs="Times New Roman"/>
          <w:szCs w:val="24"/>
        </w:rPr>
        <w:t xml:space="preserve">they </w:t>
      </w:r>
      <w:r w:rsidR="00DE1F3E" w:rsidRPr="00B22946">
        <w:rPr>
          <w:rFonts w:cs="Times New Roman"/>
          <w:szCs w:val="24"/>
        </w:rPr>
        <w:t>should be reminded</w:t>
      </w:r>
      <w:r w:rsidRPr="00B22946">
        <w:rPr>
          <w:rFonts w:cs="Times New Roman"/>
          <w:szCs w:val="24"/>
        </w:rPr>
        <w:t xml:space="preserve"> t</w:t>
      </w:r>
      <w:r w:rsidR="00DE1F3E" w:rsidRPr="00B22946">
        <w:rPr>
          <w:rFonts w:cs="Times New Roman"/>
          <w:szCs w:val="24"/>
        </w:rPr>
        <w:t>o bring their s</w:t>
      </w:r>
      <w:r w:rsidRPr="00B22946">
        <w:rPr>
          <w:rFonts w:cs="Times New Roman"/>
          <w:szCs w:val="24"/>
        </w:rPr>
        <w:t xml:space="preserve">elf-prepared medication list and </w:t>
      </w:r>
      <w:r w:rsidR="00DE1F3E" w:rsidRPr="00B22946">
        <w:rPr>
          <w:rFonts w:cs="Times New Roman"/>
          <w:szCs w:val="24"/>
        </w:rPr>
        <w:t>all</w:t>
      </w:r>
      <w:r w:rsidRPr="00B22946">
        <w:rPr>
          <w:rFonts w:cs="Times New Roman"/>
          <w:szCs w:val="24"/>
        </w:rPr>
        <w:t xml:space="preserve"> drugs</w:t>
      </w:r>
      <w:r w:rsidR="007850F1">
        <w:rPr>
          <w:rFonts w:cs="Times New Roman"/>
          <w:szCs w:val="24"/>
        </w:rPr>
        <w:t xml:space="preserve"> </w:t>
      </w:r>
      <w:r w:rsidRPr="00B22946">
        <w:rPr>
          <w:rFonts w:cs="Times New Roman"/>
          <w:szCs w:val="24"/>
        </w:rPr>
        <w:t>that they have ever taken</w:t>
      </w:r>
      <w:r w:rsidR="00DE1F3E" w:rsidRPr="00B22946">
        <w:rPr>
          <w:rFonts w:cs="Times New Roman"/>
          <w:szCs w:val="24"/>
        </w:rPr>
        <w:t xml:space="preserve"> for surg</w:t>
      </w:r>
      <w:r w:rsidRPr="00B22946">
        <w:rPr>
          <w:rFonts w:cs="Times New Roman"/>
          <w:szCs w:val="24"/>
        </w:rPr>
        <w:t>ery,</w:t>
      </w:r>
      <w:r w:rsidR="00DE1F3E" w:rsidRPr="00B22946">
        <w:rPr>
          <w:rFonts w:cs="Times New Roman"/>
          <w:szCs w:val="24"/>
        </w:rPr>
        <w:t xml:space="preserve"> any medication sample the patient received from his doctor, </w:t>
      </w:r>
      <w:r w:rsidRPr="00B22946">
        <w:rPr>
          <w:rFonts w:cs="Times New Roman"/>
          <w:szCs w:val="24"/>
        </w:rPr>
        <w:t xml:space="preserve"> or any that they </w:t>
      </w:r>
      <w:r w:rsidR="00DE1F3E" w:rsidRPr="00B22946">
        <w:rPr>
          <w:rFonts w:cs="Times New Roman"/>
          <w:szCs w:val="24"/>
        </w:rPr>
        <w:t>bought without</w:t>
      </w:r>
      <w:r w:rsidR="007850F1">
        <w:rPr>
          <w:rFonts w:cs="Times New Roman"/>
          <w:szCs w:val="24"/>
        </w:rPr>
        <w:t xml:space="preserve"> </w:t>
      </w:r>
      <w:r w:rsidR="00DE1F3E" w:rsidRPr="00B22946">
        <w:rPr>
          <w:rFonts w:cs="Times New Roman"/>
          <w:szCs w:val="24"/>
        </w:rPr>
        <w:t>a prescription like O.T.C. medication, Vitamin, and herbal supplement.  Any information about hypersensitivity and potential adverse drug reaction</w:t>
      </w:r>
      <w:r w:rsidR="004D6B10" w:rsidRPr="00B22946">
        <w:rPr>
          <w:rFonts w:cs="Times New Roman"/>
          <w:szCs w:val="24"/>
        </w:rPr>
        <w:t xml:space="preserve"> should also be included in the PML list.</w:t>
      </w:r>
      <w:r w:rsidR="00D85D46" w:rsidRPr="00B22946">
        <w:rPr>
          <w:rFonts w:cs="Times New Roman"/>
          <w:szCs w:val="24"/>
        </w:rPr>
        <w:t xml:space="preserve"> It is also recommended that the patients bring the medication containers </w:t>
      </w:r>
      <w:r w:rsidR="00DE1F3E" w:rsidRPr="00B22946">
        <w:rPr>
          <w:rFonts w:cs="Times New Roman"/>
          <w:szCs w:val="24"/>
        </w:rPr>
        <w:t>and</w:t>
      </w:r>
      <w:r w:rsidR="00D85D46" w:rsidRPr="00B22946">
        <w:rPr>
          <w:rFonts w:cs="Times New Roman"/>
          <w:szCs w:val="24"/>
        </w:rPr>
        <w:t xml:space="preserve"> bottles for physical inspection.</w:t>
      </w:r>
      <w:r w:rsidR="00CD469E" w:rsidRPr="00B22946">
        <w:rPr>
          <w:rFonts w:cs="Times New Roman"/>
          <w:szCs w:val="24"/>
        </w:rPr>
        <w:t xml:space="preserve"> In one study carried out in an outpatient setting found that medication discrepancy decreased by 50%, from 5.24</w:t>
      </w:r>
      <w:r w:rsidR="00CE083F" w:rsidRPr="00B22946">
        <w:rPr>
          <w:rFonts w:cs="Times New Roman"/>
          <w:szCs w:val="24"/>
        </w:rPr>
        <w:t>%</w:t>
      </w:r>
      <w:r w:rsidR="00CD469E" w:rsidRPr="00B22946">
        <w:rPr>
          <w:rFonts w:cs="Times New Roman"/>
          <w:szCs w:val="24"/>
        </w:rPr>
        <w:t xml:space="preserve"> to 2.46</w:t>
      </w:r>
      <w:r w:rsidR="00CE083F" w:rsidRPr="00B22946">
        <w:rPr>
          <w:rFonts w:cs="Times New Roman"/>
          <w:szCs w:val="24"/>
        </w:rPr>
        <w:t>%</w:t>
      </w:r>
      <w:r w:rsidR="00CD469E" w:rsidRPr="00B22946">
        <w:rPr>
          <w:rFonts w:cs="Times New Roman"/>
          <w:szCs w:val="24"/>
        </w:rPr>
        <w:t xml:space="preserve"> per patient if the provider sent </w:t>
      </w:r>
      <w:r w:rsidR="00C85263" w:rsidRPr="00B22946">
        <w:rPr>
          <w:rFonts w:cs="Times New Roman"/>
          <w:szCs w:val="24"/>
        </w:rPr>
        <w:t>a</w:t>
      </w:r>
      <w:r w:rsidR="00CD469E" w:rsidRPr="00B22946">
        <w:rPr>
          <w:rFonts w:cs="Times New Roman"/>
          <w:szCs w:val="24"/>
        </w:rPr>
        <w:t xml:space="preserve"> mail to the patient before appointment to bring medication container and bottles for physical medication inspection and updated medication list</w:t>
      </w:r>
      <w:r w:rsidR="0090442D" w:rsidRPr="00B22946">
        <w:rPr>
          <w:rFonts w:cs="Times New Roman"/>
          <w:szCs w:val="24"/>
        </w:rPr>
        <w:t>(Ministry of health, Singapore 2018)</w:t>
      </w:r>
      <w:r w:rsidR="00CD469E" w:rsidRPr="00B22946">
        <w:rPr>
          <w:rFonts w:cs="Times New Roman"/>
          <w:szCs w:val="24"/>
        </w:rPr>
        <w:t>.</w:t>
      </w:r>
      <w:r w:rsidR="00284C1C" w:rsidRPr="00B22946">
        <w:rPr>
          <w:rFonts w:cs="Times New Roman"/>
          <w:szCs w:val="24"/>
        </w:rPr>
        <w:t xml:space="preserve"> This allowed for confirmation of the medication list truth and acc</w:t>
      </w:r>
      <w:r w:rsidR="00386287" w:rsidRPr="00B22946">
        <w:rPr>
          <w:rFonts w:cs="Times New Roman"/>
          <w:szCs w:val="24"/>
        </w:rPr>
        <w:t>uracy.</w:t>
      </w:r>
    </w:p>
    <w:p w:rsidR="00076D3D" w:rsidRPr="00B22946" w:rsidRDefault="00076D3D" w:rsidP="00B22946">
      <w:pPr>
        <w:pStyle w:val="Heading3"/>
        <w:spacing w:line="480" w:lineRule="auto"/>
        <w:rPr>
          <w:rFonts w:ascii="Times New Roman" w:hAnsi="Times New Roman" w:cs="Times New Roman"/>
          <w:color w:val="auto"/>
          <w:szCs w:val="24"/>
          <w:u w:val="single"/>
        </w:rPr>
      </w:pPr>
      <w:bookmarkStart w:id="3" w:name="_Toc15143758"/>
      <w:r w:rsidRPr="00B22946">
        <w:rPr>
          <w:rFonts w:ascii="Times New Roman" w:hAnsi="Times New Roman" w:cs="Times New Roman"/>
          <w:color w:val="auto"/>
          <w:szCs w:val="24"/>
          <w:u w:val="single"/>
        </w:rPr>
        <w:t xml:space="preserve">Physical Inspection of </w:t>
      </w:r>
      <w:r w:rsidR="00D81B1D" w:rsidRPr="00B22946">
        <w:rPr>
          <w:rFonts w:ascii="Times New Roman" w:hAnsi="Times New Roman" w:cs="Times New Roman"/>
          <w:color w:val="auto"/>
          <w:szCs w:val="24"/>
          <w:u w:val="single"/>
        </w:rPr>
        <w:t>patient own medication</w:t>
      </w:r>
      <w:bookmarkEnd w:id="3"/>
    </w:p>
    <w:p w:rsidR="00060D72" w:rsidRPr="00B22946" w:rsidRDefault="00DE1F3E" w:rsidP="00B22946">
      <w:pPr>
        <w:spacing w:line="480" w:lineRule="auto"/>
        <w:rPr>
          <w:rFonts w:cs="Times New Roman"/>
          <w:szCs w:val="24"/>
        </w:rPr>
      </w:pPr>
      <w:r w:rsidRPr="00B22946">
        <w:rPr>
          <w:rFonts w:cs="Times New Roman"/>
          <w:szCs w:val="24"/>
        </w:rPr>
        <w:t xml:space="preserve">The third source </w:t>
      </w:r>
      <w:r w:rsidR="00850013" w:rsidRPr="00B22946">
        <w:rPr>
          <w:rFonts w:cs="Times New Roman"/>
          <w:szCs w:val="24"/>
        </w:rPr>
        <w:t xml:space="preserve">of medication history </w:t>
      </w:r>
      <w:r w:rsidRPr="00B22946">
        <w:rPr>
          <w:rFonts w:cs="Times New Roman"/>
          <w:szCs w:val="24"/>
        </w:rPr>
        <w:t>is patient own medication physical inspection</w:t>
      </w:r>
      <w:r w:rsidR="00C73ACE" w:rsidRPr="00B22946">
        <w:rPr>
          <w:rFonts w:cs="Times New Roman"/>
          <w:szCs w:val="24"/>
        </w:rPr>
        <w:t xml:space="preserve">. </w:t>
      </w:r>
      <w:r w:rsidRPr="00B22946">
        <w:rPr>
          <w:rFonts w:cs="Times New Roman"/>
          <w:szCs w:val="24"/>
        </w:rPr>
        <w:t>Physician or clinical pharmacist who inspects the patient’s medication should</w:t>
      </w:r>
      <w:r w:rsidR="00C73ACE" w:rsidRPr="00B22946">
        <w:rPr>
          <w:rFonts w:cs="Times New Roman"/>
          <w:szCs w:val="24"/>
        </w:rPr>
        <w:t xml:space="preserve"> consider that t</w:t>
      </w:r>
      <w:r w:rsidRPr="00B22946">
        <w:rPr>
          <w:rFonts w:cs="Times New Roman"/>
          <w:szCs w:val="24"/>
        </w:rPr>
        <w:t>he patient may forget some medication at home especially</w:t>
      </w:r>
      <w:r w:rsidR="00C73ACE" w:rsidRPr="00B22946">
        <w:rPr>
          <w:rFonts w:cs="Times New Roman"/>
          <w:szCs w:val="24"/>
        </w:rPr>
        <w:t xml:space="preserve"> those kept </w:t>
      </w:r>
      <w:r w:rsidR="00FC694A" w:rsidRPr="00B22946">
        <w:rPr>
          <w:rFonts w:cs="Times New Roman"/>
          <w:szCs w:val="24"/>
        </w:rPr>
        <w:t xml:space="preserve">in </w:t>
      </w:r>
      <w:r w:rsidRPr="00B22946">
        <w:rPr>
          <w:rFonts w:cs="Times New Roman"/>
          <w:szCs w:val="24"/>
        </w:rPr>
        <w:t>certain places</w:t>
      </w:r>
      <w:r w:rsidR="00C73ACE" w:rsidRPr="00B22946">
        <w:rPr>
          <w:rFonts w:cs="Times New Roman"/>
          <w:szCs w:val="24"/>
        </w:rPr>
        <w:t xml:space="preserve"> like fridge, such as insulin, some eye drops, and c</w:t>
      </w:r>
      <w:r w:rsidRPr="00B22946">
        <w:rPr>
          <w:rFonts w:cs="Times New Roman"/>
          <w:szCs w:val="24"/>
        </w:rPr>
        <w:t>holesterol</w:t>
      </w:r>
      <w:r w:rsidR="00C73ACE" w:rsidRPr="00B22946">
        <w:rPr>
          <w:rFonts w:cs="Times New Roman"/>
          <w:szCs w:val="24"/>
        </w:rPr>
        <w:t>.</w:t>
      </w:r>
      <w:r w:rsidRPr="00B22946">
        <w:rPr>
          <w:rFonts w:cs="Times New Roman"/>
          <w:szCs w:val="24"/>
        </w:rPr>
        <w:t xml:space="preserve"> Some patients</w:t>
      </w:r>
      <w:r w:rsidR="000931FF" w:rsidRPr="00B22946">
        <w:rPr>
          <w:rFonts w:cs="Times New Roman"/>
          <w:szCs w:val="24"/>
        </w:rPr>
        <w:t>,</w:t>
      </w:r>
      <w:r w:rsidR="004904A4">
        <w:rPr>
          <w:rFonts w:cs="Times New Roman"/>
          <w:szCs w:val="24"/>
        </w:rPr>
        <w:t xml:space="preserve"> for example a patient with a chronic kidney disease, may </w:t>
      </w:r>
      <w:r w:rsidR="000931FF" w:rsidRPr="00B22946">
        <w:rPr>
          <w:rFonts w:cs="Times New Roman"/>
          <w:szCs w:val="24"/>
        </w:rPr>
        <w:t>change</w:t>
      </w:r>
      <w:r w:rsidR="004C1E3F">
        <w:rPr>
          <w:rFonts w:cs="Times New Roman"/>
          <w:szCs w:val="24"/>
        </w:rPr>
        <w:t xml:space="preserve"> </w:t>
      </w:r>
      <w:r w:rsidRPr="00B22946">
        <w:rPr>
          <w:rFonts w:cs="Times New Roman"/>
          <w:szCs w:val="24"/>
        </w:rPr>
        <w:t>medication doses by telephone from doctors according to their lab results.</w:t>
      </w:r>
      <w:r w:rsidR="00FC694A" w:rsidRPr="00B22946">
        <w:rPr>
          <w:rFonts w:cs="Times New Roman"/>
          <w:szCs w:val="24"/>
        </w:rPr>
        <w:t xml:space="preserve"> The patient may also bring</w:t>
      </w:r>
      <w:r w:rsidRPr="00B22946">
        <w:rPr>
          <w:rFonts w:cs="Times New Roman"/>
          <w:szCs w:val="24"/>
        </w:rPr>
        <w:t xml:space="preserve"> medication</w:t>
      </w:r>
      <w:r w:rsidR="00FC694A" w:rsidRPr="00B22946">
        <w:rPr>
          <w:rFonts w:cs="Times New Roman"/>
          <w:szCs w:val="24"/>
        </w:rPr>
        <w:t xml:space="preserve">s that </w:t>
      </w:r>
      <w:r w:rsidRPr="00B22946">
        <w:rPr>
          <w:rFonts w:cs="Times New Roman"/>
          <w:szCs w:val="24"/>
        </w:rPr>
        <w:t xml:space="preserve">belong to another </w:t>
      </w:r>
      <w:r w:rsidR="00FC694A" w:rsidRPr="00B22946">
        <w:rPr>
          <w:rFonts w:cs="Times New Roman"/>
          <w:szCs w:val="24"/>
        </w:rPr>
        <w:t>person in the family</w:t>
      </w:r>
      <w:r w:rsidRPr="00B22946">
        <w:rPr>
          <w:rFonts w:cs="Times New Roman"/>
          <w:szCs w:val="24"/>
        </w:rPr>
        <w:t xml:space="preserve"> by mistake or</w:t>
      </w:r>
      <w:r w:rsidR="004C1E3F">
        <w:rPr>
          <w:rFonts w:cs="Times New Roman"/>
          <w:szCs w:val="24"/>
        </w:rPr>
        <w:t xml:space="preserve"> </w:t>
      </w:r>
      <w:r w:rsidR="00FC694A" w:rsidRPr="00B22946">
        <w:rPr>
          <w:rFonts w:cs="Times New Roman"/>
          <w:szCs w:val="24"/>
        </w:rPr>
        <w:t xml:space="preserve">drugs borrowed from a friend </w:t>
      </w:r>
      <w:r w:rsidRPr="00B22946">
        <w:rPr>
          <w:rFonts w:cs="Times New Roman"/>
          <w:szCs w:val="24"/>
        </w:rPr>
        <w:t>(Nickless et al</w:t>
      </w:r>
      <w:r w:rsidR="00B674C8" w:rsidRPr="00B22946">
        <w:rPr>
          <w:rFonts w:cs="Times New Roman"/>
          <w:szCs w:val="24"/>
        </w:rPr>
        <w:t xml:space="preserve">. </w:t>
      </w:r>
      <w:r w:rsidRPr="00B22946">
        <w:rPr>
          <w:rFonts w:cs="Times New Roman"/>
          <w:szCs w:val="24"/>
        </w:rPr>
        <w:t>2009)</w:t>
      </w:r>
      <w:r w:rsidR="00B674C8" w:rsidRPr="00B22946">
        <w:rPr>
          <w:rFonts w:cs="Times New Roman"/>
          <w:szCs w:val="24"/>
        </w:rPr>
        <w:t>.</w:t>
      </w:r>
    </w:p>
    <w:p w:rsidR="008754F5" w:rsidRPr="00B22946" w:rsidRDefault="00214461" w:rsidP="00B22946">
      <w:pPr>
        <w:spacing w:line="480" w:lineRule="auto"/>
        <w:rPr>
          <w:rFonts w:cs="Times New Roman"/>
          <w:szCs w:val="24"/>
        </w:rPr>
      </w:pPr>
      <w:r w:rsidRPr="00B22946">
        <w:rPr>
          <w:rFonts w:cs="Times New Roman"/>
          <w:b/>
          <w:bCs/>
          <w:szCs w:val="24"/>
          <w:u w:val="single"/>
        </w:rPr>
        <w:t>The community p</w:t>
      </w:r>
      <w:r w:rsidR="00DE1F3E" w:rsidRPr="00B22946">
        <w:rPr>
          <w:rFonts w:cs="Times New Roman"/>
          <w:b/>
          <w:bCs/>
          <w:szCs w:val="24"/>
          <w:u w:val="single"/>
        </w:rPr>
        <w:t>harmacy</w:t>
      </w:r>
      <w:r w:rsidR="00BC1FB7">
        <w:rPr>
          <w:rFonts w:cs="Times New Roman"/>
          <w:b/>
          <w:bCs/>
          <w:szCs w:val="24"/>
          <w:u w:val="single"/>
        </w:rPr>
        <w:t xml:space="preserve"> </w:t>
      </w:r>
      <w:r w:rsidRPr="00B22946">
        <w:rPr>
          <w:rFonts w:cs="Times New Roman"/>
          <w:szCs w:val="24"/>
        </w:rPr>
        <w:t xml:space="preserve">can supply the health provider </w:t>
      </w:r>
      <w:r w:rsidR="00DE1F3E" w:rsidRPr="00B22946">
        <w:rPr>
          <w:rFonts w:cs="Times New Roman"/>
          <w:szCs w:val="24"/>
        </w:rPr>
        <w:t>with the last prescription for medication, especially if the patient uses</w:t>
      </w:r>
      <w:r w:rsidR="00BC1FB7">
        <w:rPr>
          <w:rFonts w:cs="Times New Roman"/>
          <w:szCs w:val="24"/>
        </w:rPr>
        <w:t xml:space="preserve"> </w:t>
      </w:r>
      <w:r w:rsidRPr="00B22946">
        <w:rPr>
          <w:rFonts w:cs="Times New Roman"/>
          <w:szCs w:val="24"/>
        </w:rPr>
        <w:t>the same pharmacy to get their</w:t>
      </w:r>
      <w:r w:rsidR="00DE1F3E" w:rsidRPr="00B22946">
        <w:rPr>
          <w:rFonts w:cs="Times New Roman"/>
          <w:szCs w:val="24"/>
        </w:rPr>
        <w:t xml:space="preserve"> regular medications.</w:t>
      </w:r>
      <w:r w:rsidR="00BC1FB7">
        <w:rPr>
          <w:rFonts w:cs="Times New Roman"/>
          <w:szCs w:val="24"/>
        </w:rPr>
        <w:t xml:space="preserve"> </w:t>
      </w:r>
      <w:r w:rsidR="009A2096" w:rsidRPr="00B22946">
        <w:rPr>
          <w:rFonts w:cs="Times New Roman"/>
          <w:szCs w:val="24"/>
        </w:rPr>
        <w:t>Community p</w:t>
      </w:r>
      <w:r w:rsidR="00DE1F3E" w:rsidRPr="00B22946">
        <w:rPr>
          <w:rFonts w:cs="Times New Roman"/>
          <w:szCs w:val="24"/>
        </w:rPr>
        <w:t>harmacies may supply information about the patient medication we cannot obtain from another source</w:t>
      </w:r>
      <w:r w:rsidR="00C725B2" w:rsidRPr="00B22946">
        <w:rPr>
          <w:rFonts w:cs="Times New Roman"/>
          <w:szCs w:val="24"/>
        </w:rPr>
        <w:t xml:space="preserve"> (Nickless et al. 2009).</w:t>
      </w:r>
    </w:p>
    <w:p w:rsidR="00941070" w:rsidRPr="00B22946" w:rsidRDefault="006E5B29" w:rsidP="00B22946">
      <w:pPr>
        <w:spacing w:line="480" w:lineRule="auto"/>
        <w:rPr>
          <w:rFonts w:cs="Times New Roman"/>
          <w:szCs w:val="24"/>
        </w:rPr>
      </w:pPr>
      <w:r w:rsidRPr="00B22946">
        <w:rPr>
          <w:rFonts w:cs="Times New Roman"/>
          <w:b/>
          <w:bCs/>
          <w:szCs w:val="24"/>
          <w:u w:val="single"/>
        </w:rPr>
        <w:t>M</w:t>
      </w:r>
      <w:r w:rsidR="00DE1F3E" w:rsidRPr="00B22946">
        <w:rPr>
          <w:rFonts w:cs="Times New Roman"/>
          <w:b/>
          <w:bCs/>
          <w:szCs w:val="24"/>
          <w:u w:val="single"/>
        </w:rPr>
        <w:t>edication record</w:t>
      </w:r>
      <w:r w:rsidRPr="00B22946">
        <w:rPr>
          <w:rFonts w:cs="Times New Roman"/>
          <w:b/>
          <w:bCs/>
          <w:szCs w:val="24"/>
          <w:u w:val="single"/>
        </w:rPr>
        <w:t>s</w:t>
      </w:r>
      <w:r w:rsidRPr="00B22946">
        <w:rPr>
          <w:rFonts w:cs="Times New Roman"/>
          <w:szCs w:val="24"/>
        </w:rPr>
        <w:t xml:space="preserve"> in the hospital can also assist if the patient is a regular at the facility.</w:t>
      </w:r>
      <w:r w:rsidR="008C39C4">
        <w:rPr>
          <w:rFonts w:cs="Times New Roman"/>
          <w:szCs w:val="24"/>
        </w:rPr>
        <w:t xml:space="preserve"> </w:t>
      </w:r>
      <w:r w:rsidR="00DA341E" w:rsidRPr="00B22946">
        <w:rPr>
          <w:rFonts w:cs="Times New Roman"/>
          <w:szCs w:val="24"/>
        </w:rPr>
        <w:t>Checking the</w:t>
      </w:r>
      <w:r w:rsidR="00DE1F3E" w:rsidRPr="00B22946">
        <w:rPr>
          <w:rFonts w:cs="Times New Roman"/>
          <w:szCs w:val="24"/>
        </w:rPr>
        <w:t xml:space="preserve"> outpatient prescription or discharge medication summary can be helpful if</w:t>
      </w:r>
      <w:r w:rsidR="008C39C4">
        <w:rPr>
          <w:rFonts w:cs="Times New Roman"/>
          <w:szCs w:val="24"/>
        </w:rPr>
        <w:t xml:space="preserve"> </w:t>
      </w:r>
      <w:r w:rsidR="00DE1F3E" w:rsidRPr="00B22946">
        <w:rPr>
          <w:rFonts w:cs="Times New Roman"/>
          <w:szCs w:val="24"/>
        </w:rPr>
        <w:t xml:space="preserve">the </w:t>
      </w:r>
      <w:r w:rsidR="00DA341E" w:rsidRPr="00B22946">
        <w:rPr>
          <w:rFonts w:cs="Times New Roman"/>
          <w:szCs w:val="24"/>
        </w:rPr>
        <w:t xml:space="preserve">patient </w:t>
      </w:r>
      <w:r w:rsidRPr="00B22946">
        <w:rPr>
          <w:rFonts w:cs="Times New Roman"/>
          <w:szCs w:val="24"/>
        </w:rPr>
        <w:t xml:space="preserve">was </w:t>
      </w:r>
      <w:r w:rsidR="00DA341E" w:rsidRPr="00B22946">
        <w:rPr>
          <w:rFonts w:cs="Times New Roman"/>
          <w:szCs w:val="24"/>
        </w:rPr>
        <w:t>discharged</w:t>
      </w:r>
      <w:r w:rsidR="008C39C4">
        <w:rPr>
          <w:rFonts w:cs="Times New Roman"/>
          <w:szCs w:val="24"/>
        </w:rPr>
        <w:t xml:space="preserve"> </w:t>
      </w:r>
      <w:r w:rsidR="00DE1F3E" w:rsidRPr="00B22946">
        <w:rPr>
          <w:rFonts w:cs="Times New Roman"/>
          <w:szCs w:val="24"/>
        </w:rPr>
        <w:t>recently or visit</w:t>
      </w:r>
      <w:r w:rsidRPr="00B22946">
        <w:rPr>
          <w:rFonts w:cs="Times New Roman"/>
          <w:szCs w:val="24"/>
        </w:rPr>
        <w:t>ed</w:t>
      </w:r>
      <w:r w:rsidR="00DE1F3E" w:rsidRPr="00B22946">
        <w:rPr>
          <w:rFonts w:cs="Times New Roman"/>
          <w:szCs w:val="24"/>
        </w:rPr>
        <w:t xml:space="preserve"> the outpatient clinic if they use electronic</w:t>
      </w:r>
      <w:r w:rsidR="008C39C4">
        <w:rPr>
          <w:rFonts w:cs="Times New Roman"/>
          <w:szCs w:val="24"/>
        </w:rPr>
        <w:t xml:space="preserve"> </w:t>
      </w:r>
      <w:r w:rsidR="00DE1F3E" w:rsidRPr="00B22946">
        <w:rPr>
          <w:rFonts w:cs="Times New Roman"/>
          <w:szCs w:val="24"/>
        </w:rPr>
        <w:t>medication system</w:t>
      </w:r>
      <w:r w:rsidRPr="00B22946">
        <w:rPr>
          <w:rFonts w:cs="Times New Roman"/>
          <w:szCs w:val="24"/>
        </w:rPr>
        <w:t>.</w:t>
      </w:r>
    </w:p>
    <w:p w:rsidR="00F20D95" w:rsidRPr="00B22946" w:rsidRDefault="008754F5" w:rsidP="00B22946">
      <w:pPr>
        <w:spacing w:line="480" w:lineRule="auto"/>
        <w:rPr>
          <w:rFonts w:cs="Times New Roman"/>
          <w:szCs w:val="24"/>
        </w:rPr>
      </w:pPr>
      <w:r w:rsidRPr="00B22946">
        <w:rPr>
          <w:rFonts w:cs="Times New Roman"/>
          <w:b/>
          <w:bCs/>
          <w:szCs w:val="24"/>
          <w:u w:val="single"/>
        </w:rPr>
        <w:t xml:space="preserve">A </w:t>
      </w:r>
      <w:r w:rsidR="00DE1F3E" w:rsidRPr="00B22946">
        <w:rPr>
          <w:rFonts w:cs="Times New Roman"/>
          <w:b/>
          <w:bCs/>
          <w:szCs w:val="24"/>
          <w:u w:val="single"/>
        </w:rPr>
        <w:t>G</w:t>
      </w:r>
      <w:r w:rsidRPr="00B22946">
        <w:rPr>
          <w:rFonts w:cs="Times New Roman"/>
          <w:b/>
          <w:bCs/>
          <w:szCs w:val="24"/>
          <w:u w:val="single"/>
        </w:rPr>
        <w:t xml:space="preserve">eneral </w:t>
      </w:r>
      <w:r w:rsidR="00DE1F3E" w:rsidRPr="00B22946">
        <w:rPr>
          <w:rFonts w:cs="Times New Roman"/>
          <w:b/>
          <w:bCs/>
          <w:szCs w:val="24"/>
          <w:u w:val="single"/>
        </w:rPr>
        <w:t>P</w:t>
      </w:r>
      <w:r w:rsidRPr="00B22946">
        <w:rPr>
          <w:rFonts w:cs="Times New Roman"/>
          <w:b/>
          <w:bCs/>
          <w:szCs w:val="24"/>
          <w:u w:val="single"/>
        </w:rPr>
        <w:t>ractitioner (GP)</w:t>
      </w:r>
      <w:r w:rsidR="00DE1F3E" w:rsidRPr="00B22946">
        <w:rPr>
          <w:rFonts w:cs="Times New Roman"/>
          <w:b/>
          <w:bCs/>
          <w:szCs w:val="24"/>
          <w:u w:val="single"/>
        </w:rPr>
        <w:t xml:space="preserve"> surge</w:t>
      </w:r>
      <w:r w:rsidRPr="00B22946">
        <w:rPr>
          <w:rFonts w:cs="Times New Roman"/>
          <w:b/>
          <w:bCs/>
          <w:szCs w:val="24"/>
          <w:u w:val="single"/>
        </w:rPr>
        <w:t>on</w:t>
      </w:r>
      <w:r w:rsidR="00DE1F3E" w:rsidRPr="00B22946">
        <w:rPr>
          <w:rFonts w:cs="Times New Roman"/>
          <w:szCs w:val="24"/>
        </w:rPr>
        <w:t xml:space="preserve"> can</w:t>
      </w:r>
      <w:r w:rsidRPr="00B22946">
        <w:rPr>
          <w:rFonts w:cs="Times New Roman"/>
          <w:szCs w:val="24"/>
        </w:rPr>
        <w:t xml:space="preserve"> also</w:t>
      </w:r>
      <w:r w:rsidR="00DE1F3E" w:rsidRPr="00B22946">
        <w:rPr>
          <w:rFonts w:cs="Times New Roman"/>
          <w:szCs w:val="24"/>
        </w:rPr>
        <w:t xml:space="preserve"> supply information about the </w:t>
      </w:r>
      <w:r w:rsidR="00CE70C9" w:rsidRPr="00B22946">
        <w:rPr>
          <w:rFonts w:cs="Times New Roman"/>
          <w:szCs w:val="24"/>
        </w:rPr>
        <w:t>medication, which he prescribed to the patient,</w:t>
      </w:r>
      <w:r w:rsidR="00DE1F3E" w:rsidRPr="00B22946">
        <w:rPr>
          <w:rFonts w:cs="Times New Roman"/>
          <w:szCs w:val="24"/>
        </w:rPr>
        <w:t xml:space="preserve"> but not all patient medication</w:t>
      </w:r>
      <w:r w:rsidRPr="00B22946">
        <w:rPr>
          <w:rFonts w:cs="Times New Roman"/>
          <w:szCs w:val="24"/>
        </w:rPr>
        <w:t xml:space="preserve">. </w:t>
      </w:r>
      <w:r w:rsidR="00E30342" w:rsidRPr="00B22946">
        <w:rPr>
          <w:rFonts w:cs="Times New Roman"/>
          <w:szCs w:val="24"/>
        </w:rPr>
        <w:t>However,</w:t>
      </w:r>
      <w:r w:rsidRPr="00B22946">
        <w:rPr>
          <w:rFonts w:cs="Times New Roman"/>
          <w:szCs w:val="24"/>
        </w:rPr>
        <w:t xml:space="preserve"> the list provided by a GP surgeon may</w:t>
      </w:r>
      <w:r w:rsidR="00DE1F3E" w:rsidRPr="00B22946">
        <w:rPr>
          <w:rFonts w:cs="Times New Roman"/>
          <w:szCs w:val="24"/>
        </w:rPr>
        <w:t xml:space="preserve"> not </w:t>
      </w:r>
      <w:r w:rsidRPr="00B22946">
        <w:rPr>
          <w:rFonts w:cs="Times New Roman"/>
          <w:szCs w:val="24"/>
        </w:rPr>
        <w:t xml:space="preserve">be </w:t>
      </w:r>
      <w:r w:rsidR="00DE1F3E" w:rsidRPr="00B22946">
        <w:rPr>
          <w:rFonts w:cs="Times New Roman"/>
          <w:szCs w:val="24"/>
        </w:rPr>
        <w:t>updated if the patient was recently discharged or receive new medication after vestin</w:t>
      </w:r>
      <w:r w:rsidR="00805741">
        <w:rPr>
          <w:rFonts w:cs="Times New Roman"/>
          <w:szCs w:val="24"/>
        </w:rPr>
        <w:t xml:space="preserve">g outpatient clinic </w:t>
      </w:r>
      <w:r w:rsidR="0025024D" w:rsidRPr="00B22946">
        <w:rPr>
          <w:rFonts w:cs="Times New Roman"/>
          <w:szCs w:val="24"/>
        </w:rPr>
        <w:t>(Nick</w:t>
      </w:r>
      <w:r w:rsidR="00DE1F3E" w:rsidRPr="00B22946">
        <w:rPr>
          <w:rFonts w:cs="Times New Roman"/>
          <w:szCs w:val="24"/>
        </w:rPr>
        <w:t>less et al. 2016)</w:t>
      </w:r>
      <w:r w:rsidR="00F8211C" w:rsidRPr="00B22946">
        <w:rPr>
          <w:rFonts w:cs="Times New Roman"/>
          <w:szCs w:val="24"/>
        </w:rPr>
        <w:t xml:space="preserve">. </w:t>
      </w:r>
    </w:p>
    <w:p w:rsidR="00026D04" w:rsidRPr="00B22946" w:rsidRDefault="00DE1F3E" w:rsidP="00B22946">
      <w:pPr>
        <w:spacing w:line="480" w:lineRule="auto"/>
        <w:rPr>
          <w:rFonts w:cs="Times New Roman"/>
          <w:szCs w:val="24"/>
        </w:rPr>
      </w:pPr>
      <w:r w:rsidRPr="00B22946">
        <w:rPr>
          <w:rFonts w:cs="Times New Roman"/>
          <w:b/>
          <w:bCs/>
          <w:szCs w:val="24"/>
          <w:u w:val="single"/>
        </w:rPr>
        <w:t>Referral letter</w:t>
      </w:r>
      <w:r w:rsidR="00F8211C" w:rsidRPr="00B22946">
        <w:rPr>
          <w:rFonts w:cs="Times New Roman"/>
          <w:b/>
          <w:bCs/>
          <w:szCs w:val="24"/>
          <w:u w:val="single"/>
        </w:rPr>
        <w:t xml:space="preserve"> from general practitioners</w:t>
      </w:r>
      <w:r w:rsidRPr="00B22946">
        <w:rPr>
          <w:rFonts w:cs="Times New Roman"/>
          <w:szCs w:val="24"/>
        </w:rPr>
        <w:t xml:space="preserve"> may</w:t>
      </w:r>
      <w:r w:rsidR="00F8211C" w:rsidRPr="00B22946">
        <w:rPr>
          <w:rFonts w:cs="Times New Roman"/>
          <w:szCs w:val="24"/>
        </w:rPr>
        <w:t xml:space="preserve"> also be reviewed, but they have </w:t>
      </w:r>
      <w:r w:rsidRPr="00B22946">
        <w:rPr>
          <w:rFonts w:cs="Times New Roman"/>
          <w:szCs w:val="24"/>
        </w:rPr>
        <w:t>less accurate information about the patient</w:t>
      </w:r>
      <w:r w:rsidR="001234F1">
        <w:rPr>
          <w:rFonts w:cs="Times New Roman"/>
          <w:szCs w:val="24"/>
        </w:rPr>
        <w:t xml:space="preserve">’s </w:t>
      </w:r>
      <w:r w:rsidRPr="00B22946">
        <w:rPr>
          <w:rFonts w:cs="Times New Roman"/>
          <w:szCs w:val="24"/>
        </w:rPr>
        <w:t>regular and acute medication than computer generated print out</w:t>
      </w:r>
      <w:r w:rsidR="00F8211C" w:rsidRPr="00B22946">
        <w:rPr>
          <w:rFonts w:cs="Times New Roman"/>
          <w:szCs w:val="24"/>
        </w:rPr>
        <w:t>s</w:t>
      </w:r>
      <w:r w:rsidR="0025024D" w:rsidRPr="00B22946">
        <w:rPr>
          <w:rFonts w:cs="Times New Roman"/>
          <w:szCs w:val="24"/>
        </w:rPr>
        <w:t>(</w:t>
      </w:r>
      <w:r w:rsidRPr="00B22946">
        <w:rPr>
          <w:rFonts w:cs="Times New Roman"/>
          <w:szCs w:val="24"/>
        </w:rPr>
        <w:t>Neckless et al</w:t>
      </w:r>
      <w:r w:rsidR="00F8211C" w:rsidRPr="00B22946">
        <w:rPr>
          <w:rFonts w:cs="Times New Roman"/>
          <w:szCs w:val="24"/>
        </w:rPr>
        <w:t xml:space="preserve">. </w:t>
      </w:r>
      <w:r w:rsidRPr="00B22946">
        <w:rPr>
          <w:rFonts w:cs="Times New Roman"/>
          <w:szCs w:val="24"/>
        </w:rPr>
        <w:t>2016)</w:t>
      </w:r>
      <w:r w:rsidR="00026D04" w:rsidRPr="00B22946">
        <w:rPr>
          <w:rFonts w:cs="Times New Roman"/>
          <w:szCs w:val="24"/>
        </w:rPr>
        <w:t xml:space="preserve">. </w:t>
      </w:r>
      <w:r w:rsidRPr="00B22946">
        <w:rPr>
          <w:rFonts w:cs="Times New Roman"/>
          <w:szCs w:val="24"/>
        </w:rPr>
        <w:t xml:space="preserve">Finally, the medication </w:t>
      </w:r>
      <w:r w:rsidR="001234F1">
        <w:rPr>
          <w:rFonts w:cs="Times New Roman"/>
          <w:szCs w:val="24"/>
        </w:rPr>
        <w:t xml:space="preserve">history </w:t>
      </w:r>
      <w:r w:rsidRPr="00B22946">
        <w:rPr>
          <w:rFonts w:cs="Times New Roman"/>
          <w:szCs w:val="24"/>
        </w:rPr>
        <w:t xml:space="preserve">collected from sources </w:t>
      </w:r>
      <w:r w:rsidR="00026D04" w:rsidRPr="00B22946">
        <w:rPr>
          <w:rFonts w:cs="Times New Roman"/>
          <w:szCs w:val="24"/>
        </w:rPr>
        <w:t xml:space="preserve">other </w:t>
      </w:r>
      <w:r w:rsidRPr="00B22946">
        <w:rPr>
          <w:rFonts w:cs="Times New Roman"/>
          <w:szCs w:val="24"/>
        </w:rPr>
        <w:t>than the patient</w:t>
      </w:r>
      <w:r w:rsidR="00A41C1C">
        <w:rPr>
          <w:rFonts w:cs="Times New Roman"/>
          <w:szCs w:val="24"/>
        </w:rPr>
        <w:t xml:space="preserve"> </w:t>
      </w:r>
      <w:r w:rsidR="003F3E20" w:rsidRPr="00B22946">
        <w:rPr>
          <w:rFonts w:cs="Times New Roman"/>
          <w:szCs w:val="24"/>
        </w:rPr>
        <w:t xml:space="preserve">should be </w:t>
      </w:r>
      <w:r w:rsidR="00B35C9C" w:rsidRPr="00B22946">
        <w:rPr>
          <w:rFonts w:cs="Times New Roman"/>
          <w:szCs w:val="24"/>
        </w:rPr>
        <w:t>verified and confirmed</w:t>
      </w:r>
      <w:r w:rsidR="00A41C1C">
        <w:rPr>
          <w:rFonts w:cs="Times New Roman"/>
          <w:szCs w:val="24"/>
        </w:rPr>
        <w:t xml:space="preserve"> </w:t>
      </w:r>
      <w:r w:rsidR="001234F1">
        <w:rPr>
          <w:rFonts w:cs="Times New Roman"/>
          <w:szCs w:val="24"/>
        </w:rPr>
        <w:t>by the patient or the caregiver.</w:t>
      </w:r>
    </w:p>
    <w:p w:rsidR="002654BF" w:rsidRPr="00B22946" w:rsidRDefault="00DE1F3E" w:rsidP="00B22946">
      <w:pPr>
        <w:pStyle w:val="Heading3"/>
        <w:spacing w:line="480" w:lineRule="auto"/>
        <w:rPr>
          <w:rFonts w:ascii="Times New Roman" w:hAnsi="Times New Roman" w:cs="Times New Roman"/>
          <w:color w:val="auto"/>
          <w:szCs w:val="24"/>
        </w:rPr>
      </w:pPr>
      <w:bookmarkStart w:id="4" w:name="_Toc15143759"/>
      <w:r w:rsidRPr="00B22946">
        <w:rPr>
          <w:rFonts w:ascii="Times New Roman" w:hAnsi="Times New Roman" w:cs="Times New Roman"/>
          <w:color w:val="auto"/>
          <w:szCs w:val="24"/>
        </w:rPr>
        <w:t>Patient</w:t>
      </w:r>
      <w:r w:rsidR="009676D8" w:rsidRPr="00B22946">
        <w:rPr>
          <w:rFonts w:ascii="Times New Roman" w:hAnsi="Times New Roman" w:cs="Times New Roman"/>
          <w:color w:val="auto"/>
          <w:szCs w:val="24"/>
        </w:rPr>
        <w:t>-Related Causes</w:t>
      </w:r>
      <w:bookmarkEnd w:id="4"/>
    </w:p>
    <w:p w:rsidR="00DE1F3E" w:rsidRPr="00B22946" w:rsidRDefault="002654BF" w:rsidP="00B22946">
      <w:pPr>
        <w:spacing w:line="480" w:lineRule="auto"/>
        <w:rPr>
          <w:rFonts w:cs="Times New Roman"/>
          <w:szCs w:val="24"/>
        </w:rPr>
      </w:pPr>
      <w:r w:rsidRPr="00B22946">
        <w:rPr>
          <w:rFonts w:cs="Times New Roman"/>
          <w:szCs w:val="24"/>
        </w:rPr>
        <w:t xml:space="preserve">Patients may be unable to </w:t>
      </w:r>
      <w:r w:rsidR="00DE1F3E" w:rsidRPr="00B22946">
        <w:rPr>
          <w:rFonts w:cs="Times New Roman"/>
          <w:szCs w:val="24"/>
        </w:rPr>
        <w:t>report their drug</w:t>
      </w:r>
      <w:r w:rsidR="000B3CD1">
        <w:rPr>
          <w:rFonts w:cs="Times New Roman"/>
          <w:szCs w:val="24"/>
        </w:rPr>
        <w:t xml:space="preserve"> history accurately and may neither </w:t>
      </w:r>
      <w:r w:rsidR="00DE1F3E" w:rsidRPr="00B22946">
        <w:rPr>
          <w:rFonts w:cs="Times New Roman"/>
          <w:szCs w:val="24"/>
        </w:rPr>
        <w:t>bring</w:t>
      </w:r>
      <w:r w:rsidR="000B3CD1">
        <w:rPr>
          <w:rFonts w:cs="Times New Roman"/>
          <w:szCs w:val="24"/>
        </w:rPr>
        <w:t xml:space="preserve"> t</w:t>
      </w:r>
      <w:r w:rsidR="00DE1F3E" w:rsidRPr="00B22946">
        <w:rPr>
          <w:rFonts w:cs="Times New Roman"/>
          <w:szCs w:val="24"/>
        </w:rPr>
        <w:t>he drugnor update medication list (</w:t>
      </w:r>
      <w:r w:rsidR="00C77E1F" w:rsidRPr="00B22946">
        <w:rPr>
          <w:rFonts w:cs="Times New Roman"/>
          <w:szCs w:val="24"/>
        </w:rPr>
        <w:t>Lau et al</w:t>
      </w:r>
      <w:r w:rsidR="00DE1F3E" w:rsidRPr="00B22946">
        <w:rPr>
          <w:rFonts w:cs="Times New Roman"/>
          <w:szCs w:val="24"/>
        </w:rPr>
        <w:t>. 2000, FitzGerald et al. 2009</w:t>
      </w:r>
      <w:r w:rsidRPr="00B22946">
        <w:rPr>
          <w:rFonts w:cs="Times New Roman"/>
          <w:szCs w:val="24"/>
        </w:rPr>
        <w:t xml:space="preserve">). They may also be unable to </w:t>
      </w:r>
      <w:r w:rsidR="00DE1F3E" w:rsidRPr="00B22946">
        <w:rPr>
          <w:rFonts w:cs="Times New Roman"/>
          <w:szCs w:val="24"/>
        </w:rPr>
        <w:t>remember their drugs corr</w:t>
      </w:r>
      <w:r w:rsidRPr="00B22946">
        <w:rPr>
          <w:rFonts w:cs="Times New Roman"/>
          <w:szCs w:val="24"/>
        </w:rPr>
        <w:t>ectly, name and doses, but just</w:t>
      </w:r>
      <w:r w:rsidR="00DE1F3E" w:rsidRPr="00B22946">
        <w:rPr>
          <w:rFonts w:cs="Times New Roman"/>
          <w:szCs w:val="24"/>
        </w:rPr>
        <w:t xml:space="preserve"> describe the medicine </w:t>
      </w:r>
      <w:r w:rsidR="001401E2" w:rsidRPr="00B22946">
        <w:rPr>
          <w:rFonts w:cs="Times New Roman"/>
          <w:szCs w:val="24"/>
        </w:rPr>
        <w:t>physically</w:t>
      </w:r>
      <w:r w:rsidR="0096626B">
        <w:rPr>
          <w:rFonts w:cs="Times New Roman"/>
          <w:szCs w:val="24"/>
        </w:rPr>
        <w:t>. In some cases, the doctor may not be familiar with the medication being described by the patient</w:t>
      </w:r>
      <w:r w:rsidR="0090442D" w:rsidRPr="00B22946">
        <w:rPr>
          <w:rFonts w:cs="Times New Roman"/>
          <w:szCs w:val="24"/>
        </w:rPr>
        <w:t>,</w:t>
      </w:r>
      <w:r w:rsidR="00DE1F3E" w:rsidRPr="00B22946">
        <w:rPr>
          <w:rFonts w:cs="Times New Roman"/>
          <w:szCs w:val="24"/>
        </w:rPr>
        <w:t xml:space="preserve"> especially </w:t>
      </w:r>
      <w:r w:rsidRPr="00B22946">
        <w:rPr>
          <w:rFonts w:cs="Times New Roman"/>
          <w:szCs w:val="24"/>
        </w:rPr>
        <w:t xml:space="preserve">due to </w:t>
      </w:r>
      <w:r w:rsidR="00DE1F3E" w:rsidRPr="00B22946">
        <w:rPr>
          <w:rFonts w:cs="Times New Roman"/>
          <w:szCs w:val="24"/>
        </w:rPr>
        <w:t xml:space="preserve">polypharmacy </w:t>
      </w:r>
      <w:r w:rsidRPr="00B22946">
        <w:rPr>
          <w:rFonts w:cs="Times New Roman"/>
          <w:szCs w:val="24"/>
        </w:rPr>
        <w:t xml:space="preserve">in </w:t>
      </w:r>
      <w:r w:rsidR="00DE1F3E" w:rsidRPr="00B22946">
        <w:rPr>
          <w:rFonts w:cs="Times New Roman"/>
          <w:szCs w:val="24"/>
        </w:rPr>
        <w:t>elder patient (</w:t>
      </w:r>
      <w:r w:rsidRPr="00B22946">
        <w:rPr>
          <w:rFonts w:cs="Times New Roman"/>
          <w:szCs w:val="24"/>
        </w:rPr>
        <w:t xml:space="preserve">Hogget al 2015, </w:t>
      </w:r>
      <w:r w:rsidR="00C77E1F" w:rsidRPr="00B22946">
        <w:rPr>
          <w:rFonts w:cs="Times New Roman"/>
          <w:szCs w:val="24"/>
        </w:rPr>
        <w:t xml:space="preserve">Gleason </w:t>
      </w:r>
      <w:r w:rsidR="00DE1F3E" w:rsidRPr="00B22946">
        <w:rPr>
          <w:rFonts w:cs="Times New Roman"/>
          <w:szCs w:val="24"/>
        </w:rPr>
        <w:t>et al. 2010)</w:t>
      </w:r>
      <w:r w:rsidR="001401E2" w:rsidRPr="00B22946">
        <w:rPr>
          <w:rFonts w:cs="Times New Roman"/>
          <w:szCs w:val="24"/>
        </w:rPr>
        <w:t>.</w:t>
      </w:r>
      <w:r w:rsidR="00DE1F3E" w:rsidRPr="00B22946">
        <w:rPr>
          <w:rFonts w:cs="Times New Roman"/>
          <w:szCs w:val="24"/>
        </w:rPr>
        <w:t>Patient</w:t>
      </w:r>
      <w:r w:rsidR="0047775E" w:rsidRPr="00B22946">
        <w:rPr>
          <w:rFonts w:cs="Times New Roman"/>
          <w:szCs w:val="24"/>
        </w:rPr>
        <w:t>s</w:t>
      </w:r>
      <w:r w:rsidR="00DE1F3E" w:rsidRPr="00B22946">
        <w:rPr>
          <w:rFonts w:cs="Times New Roman"/>
          <w:szCs w:val="24"/>
        </w:rPr>
        <w:t xml:space="preserve"> or caregiver</w:t>
      </w:r>
      <w:r w:rsidR="0047775E" w:rsidRPr="00B22946">
        <w:rPr>
          <w:rFonts w:cs="Times New Roman"/>
          <w:szCs w:val="24"/>
        </w:rPr>
        <w:t>s</w:t>
      </w:r>
      <w:r w:rsidR="00DE1F3E" w:rsidRPr="00B22946">
        <w:rPr>
          <w:rFonts w:cs="Times New Roman"/>
          <w:szCs w:val="24"/>
        </w:rPr>
        <w:t xml:space="preserve"> may bring medication bottle withou</w:t>
      </w:r>
      <w:r w:rsidR="0047775E" w:rsidRPr="00B22946">
        <w:rPr>
          <w:rFonts w:cs="Times New Roman"/>
          <w:szCs w:val="24"/>
        </w:rPr>
        <w:t xml:space="preserve">t or with wrong labels or strips </w:t>
      </w:r>
      <w:r w:rsidR="00DE1F3E" w:rsidRPr="00B22946">
        <w:rPr>
          <w:rFonts w:cs="Times New Roman"/>
          <w:szCs w:val="24"/>
        </w:rPr>
        <w:t>without any specific information or medication for</w:t>
      </w:r>
      <w:r w:rsidR="00F85387" w:rsidRPr="00B22946">
        <w:rPr>
          <w:rFonts w:cs="Times New Roman"/>
          <w:szCs w:val="24"/>
        </w:rPr>
        <w:t xml:space="preserve"> another patient in the family </w:t>
      </w:r>
      <w:r w:rsidR="00DE1F3E" w:rsidRPr="00B22946">
        <w:rPr>
          <w:rFonts w:cs="Times New Roman"/>
          <w:szCs w:val="24"/>
        </w:rPr>
        <w:t>(Hogget al</w:t>
      </w:r>
      <w:r w:rsidR="00F85387" w:rsidRPr="00B22946">
        <w:rPr>
          <w:rFonts w:cs="Times New Roman"/>
          <w:szCs w:val="24"/>
        </w:rPr>
        <w:t>.</w:t>
      </w:r>
      <w:r w:rsidR="00DE1F3E" w:rsidRPr="00B22946">
        <w:rPr>
          <w:rFonts w:cs="Times New Roman"/>
          <w:szCs w:val="24"/>
        </w:rPr>
        <w:t xml:space="preserve"> 2015)</w:t>
      </w:r>
      <w:r w:rsidR="00444910" w:rsidRPr="00B22946">
        <w:rPr>
          <w:rFonts w:cs="Times New Roman"/>
          <w:szCs w:val="24"/>
        </w:rPr>
        <w:t xml:space="preserve">. </w:t>
      </w:r>
      <w:r w:rsidR="00DE1F3E" w:rsidRPr="00B22946">
        <w:rPr>
          <w:rFonts w:cs="Times New Roman"/>
          <w:szCs w:val="24"/>
        </w:rPr>
        <w:t>Patient</w:t>
      </w:r>
      <w:r w:rsidR="00444910" w:rsidRPr="00B22946">
        <w:rPr>
          <w:rFonts w:cs="Times New Roman"/>
          <w:szCs w:val="24"/>
        </w:rPr>
        <w:t>s are</w:t>
      </w:r>
      <w:r w:rsidR="00DE1F3E" w:rsidRPr="00B22946">
        <w:rPr>
          <w:rFonts w:cs="Times New Roman"/>
          <w:szCs w:val="24"/>
        </w:rPr>
        <w:t xml:space="preserve"> sometimes</w:t>
      </w:r>
      <w:r w:rsidR="00444910" w:rsidRPr="00B22946">
        <w:rPr>
          <w:rFonts w:cs="Times New Roman"/>
          <w:szCs w:val="24"/>
        </w:rPr>
        <w:t xml:space="preserve"> hesitant</w:t>
      </w:r>
      <w:r w:rsidR="00DE1F3E" w:rsidRPr="00B22946">
        <w:rPr>
          <w:rFonts w:cs="Times New Roman"/>
          <w:szCs w:val="24"/>
        </w:rPr>
        <w:t xml:space="preserve"> to confess to the </w:t>
      </w:r>
      <w:r w:rsidR="00444910" w:rsidRPr="00B22946">
        <w:rPr>
          <w:rFonts w:cs="Times New Roman"/>
          <w:szCs w:val="24"/>
        </w:rPr>
        <w:t xml:space="preserve">doctor their non-compliance to </w:t>
      </w:r>
      <w:r w:rsidR="00DE1F3E" w:rsidRPr="00B22946">
        <w:rPr>
          <w:rFonts w:cs="Times New Roman"/>
          <w:szCs w:val="24"/>
        </w:rPr>
        <w:t>prescribed medication instruction (changing t</w:t>
      </w:r>
      <w:r w:rsidR="003A50D3">
        <w:rPr>
          <w:rFonts w:cs="Times New Roman"/>
          <w:szCs w:val="24"/>
        </w:rPr>
        <w:t>he dose or sometimes stopping the medication by themselves</w:t>
      </w:r>
      <w:r w:rsidR="00444910" w:rsidRPr="00B22946">
        <w:rPr>
          <w:rFonts w:cs="Times New Roman"/>
          <w:szCs w:val="24"/>
        </w:rPr>
        <w:t xml:space="preserve">). </w:t>
      </w:r>
      <w:r w:rsidR="00DE1F3E" w:rsidRPr="00B22946">
        <w:rPr>
          <w:rFonts w:cs="Times New Roman"/>
          <w:szCs w:val="24"/>
        </w:rPr>
        <w:t>Patient</w:t>
      </w:r>
      <w:r w:rsidR="00444910" w:rsidRPr="00B22946">
        <w:rPr>
          <w:rFonts w:cs="Times New Roman"/>
          <w:szCs w:val="24"/>
        </w:rPr>
        <w:t xml:space="preserve">s fail to </w:t>
      </w:r>
      <w:r w:rsidR="002D7659">
        <w:rPr>
          <w:rFonts w:cs="Times New Roman"/>
          <w:szCs w:val="24"/>
        </w:rPr>
        <w:t>provide</w:t>
      </w:r>
      <w:r w:rsidR="00E61D7B">
        <w:rPr>
          <w:rFonts w:cs="Times New Roman"/>
          <w:szCs w:val="24"/>
        </w:rPr>
        <w:t xml:space="preserve"> enough information on</w:t>
      </w:r>
      <w:r w:rsidR="00DE1F3E" w:rsidRPr="00B22946">
        <w:rPr>
          <w:rFonts w:cs="Times New Roman"/>
          <w:szCs w:val="24"/>
        </w:rPr>
        <w:t xml:space="preserve"> non-documented medication and their </w:t>
      </w:r>
      <w:r w:rsidR="00376016" w:rsidRPr="00B22946">
        <w:rPr>
          <w:rFonts w:cs="Times New Roman"/>
          <w:szCs w:val="24"/>
        </w:rPr>
        <w:t>O</w:t>
      </w:r>
      <w:r w:rsidR="00DE1F3E" w:rsidRPr="00B22946">
        <w:rPr>
          <w:rFonts w:cs="Times New Roman"/>
          <w:szCs w:val="24"/>
        </w:rPr>
        <w:t>TC</w:t>
      </w:r>
      <w:r w:rsidR="00376016" w:rsidRPr="00B22946">
        <w:rPr>
          <w:rFonts w:cs="Times New Roman"/>
          <w:szCs w:val="24"/>
        </w:rPr>
        <w:t xml:space="preserve"> drugs(</w:t>
      </w:r>
      <w:r w:rsidR="00C77E1F" w:rsidRPr="00B22946">
        <w:rPr>
          <w:rFonts w:cs="Times New Roman"/>
          <w:szCs w:val="24"/>
        </w:rPr>
        <w:t>Gleason et al.</w:t>
      </w:r>
      <w:r w:rsidR="00E61D7B">
        <w:rPr>
          <w:rFonts w:cs="Times New Roman"/>
          <w:szCs w:val="24"/>
        </w:rPr>
        <w:t xml:space="preserve">,  2004; </w:t>
      </w:r>
      <w:r w:rsidR="00DE1F3E" w:rsidRPr="00B22946">
        <w:rPr>
          <w:rFonts w:cs="Times New Roman"/>
          <w:szCs w:val="24"/>
        </w:rPr>
        <w:t>Hogget al</w:t>
      </w:r>
      <w:r w:rsidR="00E61D7B">
        <w:rPr>
          <w:rFonts w:cs="Times New Roman"/>
          <w:szCs w:val="24"/>
        </w:rPr>
        <w:t xml:space="preserve">., </w:t>
      </w:r>
      <w:r w:rsidR="00DE1F3E" w:rsidRPr="00B22946">
        <w:rPr>
          <w:rFonts w:cs="Times New Roman"/>
          <w:szCs w:val="24"/>
        </w:rPr>
        <w:t xml:space="preserve"> 2015).</w:t>
      </w:r>
      <w:r w:rsidR="00E61D7B">
        <w:rPr>
          <w:rFonts w:cs="Times New Roman"/>
          <w:szCs w:val="24"/>
        </w:rPr>
        <w:t xml:space="preserve"> </w:t>
      </w:r>
      <w:r w:rsidR="00DE1F3E" w:rsidRPr="00B22946">
        <w:rPr>
          <w:rFonts w:cs="Times New Roman"/>
          <w:szCs w:val="24"/>
        </w:rPr>
        <w:t xml:space="preserve">One recent systemic review reported that </w:t>
      </w:r>
      <w:r w:rsidR="00B03C7F" w:rsidRPr="00B22946">
        <w:rPr>
          <w:rFonts w:cs="Times New Roman"/>
          <w:szCs w:val="24"/>
        </w:rPr>
        <w:t>more than 1</w:t>
      </w:r>
      <w:r w:rsidR="00DE1F3E" w:rsidRPr="00B22946">
        <w:rPr>
          <w:rFonts w:cs="Times New Roman"/>
          <w:szCs w:val="24"/>
        </w:rPr>
        <w:t>0</w:t>
      </w:r>
      <w:r w:rsidR="00B03C7F" w:rsidRPr="00B22946">
        <w:rPr>
          <w:rFonts w:cs="Times New Roman"/>
          <w:szCs w:val="24"/>
        </w:rPr>
        <w:t xml:space="preserve"> percent</w:t>
      </w:r>
      <w:r w:rsidR="002D7659">
        <w:rPr>
          <w:rFonts w:cs="Times New Roman"/>
          <w:szCs w:val="24"/>
        </w:rPr>
        <w:t xml:space="preserve"> of patients had at least one </w:t>
      </w:r>
      <w:r w:rsidR="00DE1F3E" w:rsidRPr="00B22946">
        <w:rPr>
          <w:rFonts w:cs="Times New Roman"/>
          <w:szCs w:val="24"/>
        </w:rPr>
        <w:t>medic</w:t>
      </w:r>
      <w:r w:rsidR="00B03C7F" w:rsidRPr="00B22946">
        <w:rPr>
          <w:rFonts w:cs="Times New Roman"/>
          <w:szCs w:val="24"/>
        </w:rPr>
        <w:t>ation error</w:t>
      </w:r>
      <w:r w:rsidR="00DE1F3E" w:rsidRPr="00B22946">
        <w:rPr>
          <w:rFonts w:cs="Times New Roman"/>
          <w:szCs w:val="24"/>
        </w:rPr>
        <w:t xml:space="preserve"> in the prescribed medication and the percentage </w:t>
      </w:r>
      <w:r w:rsidR="00564182" w:rsidRPr="00B22946">
        <w:rPr>
          <w:rFonts w:cs="Times New Roman"/>
          <w:szCs w:val="24"/>
        </w:rPr>
        <w:t>increased to</w:t>
      </w:r>
      <w:r w:rsidR="00B03C7F" w:rsidRPr="00B22946">
        <w:rPr>
          <w:rFonts w:cs="Times New Roman"/>
          <w:szCs w:val="24"/>
        </w:rPr>
        <w:t xml:space="preserve"> 27 percent </w:t>
      </w:r>
      <w:r w:rsidR="00DE1F3E" w:rsidRPr="00B22946">
        <w:rPr>
          <w:rFonts w:cs="Times New Roman"/>
          <w:szCs w:val="24"/>
        </w:rPr>
        <w:t>when non-prescribed medication</w:t>
      </w:r>
      <w:r w:rsidR="00B03C7F" w:rsidRPr="00B22946">
        <w:rPr>
          <w:rFonts w:cs="Times New Roman"/>
          <w:szCs w:val="24"/>
        </w:rPr>
        <w:t>s were included (</w:t>
      </w:r>
      <w:r w:rsidR="00C77E1F" w:rsidRPr="00B22946">
        <w:rPr>
          <w:rFonts w:cs="Times New Roman"/>
          <w:szCs w:val="24"/>
        </w:rPr>
        <w:t>Tam</w:t>
      </w:r>
      <w:r w:rsidR="00DE1F3E" w:rsidRPr="00B22946">
        <w:rPr>
          <w:rFonts w:cs="Times New Roman"/>
          <w:szCs w:val="24"/>
        </w:rPr>
        <w:t xml:space="preserve"> et al.</w:t>
      </w:r>
      <w:r w:rsidR="00E61D7B">
        <w:rPr>
          <w:rFonts w:cs="Times New Roman"/>
          <w:szCs w:val="24"/>
        </w:rPr>
        <w:t>,</w:t>
      </w:r>
      <w:r w:rsidR="00DE1F3E" w:rsidRPr="00B22946">
        <w:rPr>
          <w:rFonts w:cs="Times New Roman"/>
          <w:szCs w:val="24"/>
        </w:rPr>
        <w:t xml:space="preserve"> 2005).</w:t>
      </w:r>
      <w:r w:rsidR="00E61D7B">
        <w:rPr>
          <w:rFonts w:cs="Times New Roman"/>
          <w:szCs w:val="24"/>
        </w:rPr>
        <w:t xml:space="preserve"> </w:t>
      </w:r>
      <w:r w:rsidR="00DE1F3E" w:rsidRPr="00B22946">
        <w:rPr>
          <w:rFonts w:cs="Times New Roman"/>
          <w:szCs w:val="24"/>
        </w:rPr>
        <w:t>Older patients</w:t>
      </w:r>
      <w:r w:rsidR="002D7659">
        <w:rPr>
          <w:rFonts w:cs="Times New Roman"/>
          <w:szCs w:val="24"/>
        </w:rPr>
        <w:t>,</w:t>
      </w:r>
      <w:r w:rsidR="00DE1F3E" w:rsidRPr="00B22946">
        <w:rPr>
          <w:rFonts w:cs="Times New Roman"/>
          <w:szCs w:val="24"/>
        </w:rPr>
        <w:t xml:space="preserve"> who are more likely to have chronic conditions, visit more providers, and</w:t>
      </w:r>
      <w:r w:rsidR="00E61D7B">
        <w:rPr>
          <w:rFonts w:cs="Times New Roman"/>
          <w:szCs w:val="24"/>
        </w:rPr>
        <w:t xml:space="preserve"> </w:t>
      </w:r>
      <w:r w:rsidR="00DE1F3E" w:rsidRPr="00B22946">
        <w:rPr>
          <w:rFonts w:cs="Times New Roman"/>
          <w:szCs w:val="24"/>
        </w:rPr>
        <w:t xml:space="preserve">take a more significant number of medications </w:t>
      </w:r>
      <w:r w:rsidR="006C437E" w:rsidRPr="00B22946">
        <w:rPr>
          <w:rFonts w:cs="Times New Roman"/>
          <w:szCs w:val="24"/>
        </w:rPr>
        <w:t>and are</w:t>
      </w:r>
      <w:r w:rsidR="00DE1F3E" w:rsidRPr="00B22946">
        <w:rPr>
          <w:rFonts w:cs="Times New Roman"/>
          <w:szCs w:val="24"/>
        </w:rPr>
        <w:t xml:space="preserve"> at </w:t>
      </w:r>
      <w:r w:rsidR="006C437E" w:rsidRPr="00B22946">
        <w:rPr>
          <w:rFonts w:cs="Times New Roman"/>
          <w:szCs w:val="24"/>
        </w:rPr>
        <w:t xml:space="preserve">a </w:t>
      </w:r>
      <w:r w:rsidR="00DE1F3E" w:rsidRPr="00B22946">
        <w:rPr>
          <w:rFonts w:cs="Times New Roman"/>
          <w:szCs w:val="24"/>
        </w:rPr>
        <w:t>particularly high risk for A</w:t>
      </w:r>
      <w:r w:rsidR="00654EF4" w:rsidRPr="00B22946">
        <w:rPr>
          <w:rFonts w:cs="Times New Roman"/>
          <w:szCs w:val="24"/>
        </w:rPr>
        <w:t>dverse Drugs Events (</w:t>
      </w:r>
      <w:r w:rsidR="005631C9" w:rsidRPr="00B22946">
        <w:rPr>
          <w:rFonts w:cs="Times New Roman"/>
          <w:szCs w:val="24"/>
        </w:rPr>
        <w:t>ADEs)</w:t>
      </w:r>
      <w:r w:rsidR="00DE1F3E" w:rsidRPr="00B22946">
        <w:rPr>
          <w:rFonts w:cs="Times New Roman"/>
          <w:szCs w:val="24"/>
        </w:rPr>
        <w:t xml:space="preserve"> related</w:t>
      </w:r>
      <w:r w:rsidR="00AA1B17">
        <w:rPr>
          <w:rFonts w:cs="Times New Roman"/>
          <w:szCs w:val="24"/>
        </w:rPr>
        <w:t xml:space="preserve"> </w:t>
      </w:r>
      <w:r w:rsidR="005631C9" w:rsidRPr="00B22946">
        <w:rPr>
          <w:rFonts w:cs="Times New Roman"/>
          <w:szCs w:val="24"/>
        </w:rPr>
        <w:t xml:space="preserve">to medication discrepancies </w:t>
      </w:r>
      <w:r w:rsidR="00926BB9" w:rsidRPr="00B22946">
        <w:rPr>
          <w:rFonts w:cs="Times New Roman"/>
          <w:szCs w:val="24"/>
        </w:rPr>
        <w:t>(</w:t>
      </w:r>
      <w:r w:rsidR="00DE1F3E" w:rsidRPr="00B22946">
        <w:rPr>
          <w:rFonts w:cs="Times New Roman"/>
          <w:szCs w:val="24"/>
        </w:rPr>
        <w:t>Colon-Emeric C et al.</w:t>
      </w:r>
      <w:r w:rsidR="003969F2">
        <w:rPr>
          <w:rFonts w:cs="Times New Roman"/>
          <w:szCs w:val="24"/>
        </w:rPr>
        <w:t>,</w:t>
      </w:r>
      <w:r w:rsidR="00DE1F3E" w:rsidRPr="00B22946">
        <w:rPr>
          <w:rFonts w:cs="Times New Roman"/>
          <w:szCs w:val="24"/>
        </w:rPr>
        <w:t xml:space="preserve"> 2010)</w:t>
      </w:r>
      <w:r w:rsidR="00D354FD" w:rsidRPr="00B22946">
        <w:rPr>
          <w:rFonts w:cs="Times New Roman"/>
          <w:szCs w:val="24"/>
        </w:rPr>
        <w:t>.</w:t>
      </w:r>
    </w:p>
    <w:p w:rsidR="00DE1F3E" w:rsidRPr="00B22946" w:rsidRDefault="00DE1F3E" w:rsidP="00B22946">
      <w:pPr>
        <w:pStyle w:val="Heading3"/>
        <w:spacing w:line="480" w:lineRule="auto"/>
        <w:rPr>
          <w:rFonts w:ascii="Times New Roman" w:hAnsi="Times New Roman" w:cs="Times New Roman"/>
          <w:color w:val="auto"/>
          <w:szCs w:val="24"/>
        </w:rPr>
      </w:pPr>
      <w:bookmarkStart w:id="5" w:name="_Toc15143760"/>
      <w:r w:rsidRPr="00B22946">
        <w:rPr>
          <w:rFonts w:ascii="Times New Roman" w:hAnsi="Times New Roman" w:cs="Times New Roman"/>
          <w:color w:val="auto"/>
          <w:szCs w:val="24"/>
        </w:rPr>
        <w:t xml:space="preserve">Medications </w:t>
      </w:r>
      <w:r w:rsidR="00A32600" w:rsidRPr="00B22946">
        <w:rPr>
          <w:rFonts w:ascii="Times New Roman" w:hAnsi="Times New Roman" w:cs="Times New Roman"/>
          <w:color w:val="auto"/>
          <w:szCs w:val="24"/>
        </w:rPr>
        <w:t>Related Causes</w:t>
      </w:r>
      <w:bookmarkEnd w:id="5"/>
    </w:p>
    <w:p w:rsidR="00DE1F3E" w:rsidRPr="00B22946" w:rsidRDefault="00DE1F3E" w:rsidP="00B22946">
      <w:pPr>
        <w:spacing w:line="480" w:lineRule="auto"/>
        <w:rPr>
          <w:rFonts w:cs="Times New Roman"/>
          <w:szCs w:val="24"/>
        </w:rPr>
      </w:pPr>
      <w:r w:rsidRPr="00B22946">
        <w:rPr>
          <w:rFonts w:cs="Times New Roman"/>
          <w:szCs w:val="24"/>
        </w:rPr>
        <w:t xml:space="preserve">Polypharmacy </w:t>
      </w:r>
      <w:r w:rsidR="00450DEE" w:rsidRPr="00B22946">
        <w:rPr>
          <w:rFonts w:cs="Times New Roman"/>
          <w:szCs w:val="24"/>
        </w:rPr>
        <w:t xml:space="preserve">is </w:t>
      </w:r>
      <w:r w:rsidRPr="00B22946">
        <w:rPr>
          <w:rFonts w:cs="Times New Roman"/>
          <w:szCs w:val="24"/>
        </w:rPr>
        <w:t>considered a reasonable risk factor for drug history recording</w:t>
      </w:r>
      <w:r w:rsidR="00314B7E" w:rsidRPr="00B22946">
        <w:rPr>
          <w:rFonts w:cs="Times New Roman"/>
          <w:szCs w:val="24"/>
        </w:rPr>
        <w:t>; it entails the concurrent use of medications by a patient and is most common in the elderly affecting 40 percent of them</w:t>
      </w:r>
      <w:r w:rsidRPr="00B22946">
        <w:rPr>
          <w:rFonts w:cs="Times New Roman"/>
          <w:szCs w:val="24"/>
        </w:rPr>
        <w:t xml:space="preserve"> (Fitzgerald RJ et al. 2009)</w:t>
      </w:r>
      <w:r w:rsidR="00314B7E" w:rsidRPr="00B22946">
        <w:rPr>
          <w:rFonts w:cs="Times New Roman"/>
          <w:szCs w:val="24"/>
        </w:rPr>
        <w:t xml:space="preserve">. Polypharmacy is not necessarily ill-advised, but in many instances can lead to negative outcomes or poor treatment effectiveness, often being more harmful than helpful or presenting too much risk for too little benefit. </w:t>
      </w:r>
      <w:r w:rsidR="00BD2396" w:rsidRPr="00B22946">
        <w:rPr>
          <w:rFonts w:cs="Times New Roman"/>
          <w:szCs w:val="24"/>
        </w:rPr>
        <w:t>Therefore, health professionals consider it a situation that requires monitoring and review to validate whether all of the medications are still necessary. Polypharmacy is often associated with a decreased quality of life, including decreased mobility and cognition</w:t>
      </w:r>
      <w:r w:rsidR="00D80529">
        <w:rPr>
          <w:rFonts w:cs="Times New Roman"/>
          <w:szCs w:val="24"/>
        </w:rPr>
        <w:t xml:space="preserve"> </w:t>
      </w:r>
      <w:r w:rsidR="00D80529" w:rsidRPr="00B22946">
        <w:rPr>
          <w:rFonts w:cs="Times New Roman"/>
          <w:szCs w:val="24"/>
        </w:rPr>
        <w:t>(Haider</w:t>
      </w:r>
      <w:r w:rsidR="00556FB9">
        <w:rPr>
          <w:rFonts w:cs="Times New Roman"/>
          <w:szCs w:val="24"/>
        </w:rPr>
        <w:t xml:space="preserve"> </w:t>
      </w:r>
      <w:r w:rsidR="00D80529" w:rsidRPr="00B22946">
        <w:rPr>
          <w:rFonts w:cs="Times New Roman"/>
          <w:szCs w:val="24"/>
        </w:rPr>
        <w:t>et al.</w:t>
      </w:r>
      <w:r w:rsidR="00556FB9">
        <w:rPr>
          <w:rFonts w:cs="Times New Roman"/>
          <w:szCs w:val="24"/>
        </w:rPr>
        <w:t>,</w:t>
      </w:r>
      <w:r w:rsidR="00D80529" w:rsidRPr="00B22946">
        <w:rPr>
          <w:rFonts w:cs="Times New Roman"/>
          <w:szCs w:val="24"/>
        </w:rPr>
        <w:t xml:space="preserve"> 2009).</w:t>
      </w:r>
    </w:p>
    <w:p w:rsidR="00DE1F3E" w:rsidRPr="00B22946" w:rsidRDefault="00007661" w:rsidP="00B22946">
      <w:pPr>
        <w:spacing w:line="480" w:lineRule="auto"/>
        <w:rPr>
          <w:rFonts w:cs="Times New Roman"/>
          <w:szCs w:val="24"/>
        </w:rPr>
      </w:pPr>
      <w:r w:rsidRPr="00B22946">
        <w:rPr>
          <w:rFonts w:cs="Times New Roman"/>
          <w:szCs w:val="24"/>
        </w:rPr>
        <w:t>There are particular drugs that</w:t>
      </w:r>
      <w:r w:rsidR="00DE1F3E" w:rsidRPr="00B22946">
        <w:rPr>
          <w:rFonts w:cs="Times New Roman"/>
          <w:szCs w:val="24"/>
        </w:rPr>
        <w:t xml:space="preserve"> are more </w:t>
      </w:r>
      <w:r w:rsidRPr="00B22946">
        <w:rPr>
          <w:rFonts w:cs="Times New Roman"/>
          <w:szCs w:val="24"/>
        </w:rPr>
        <w:t>prone to errors</w:t>
      </w:r>
      <w:r w:rsidR="00DE1F3E" w:rsidRPr="00B22946">
        <w:rPr>
          <w:rFonts w:cs="Times New Roman"/>
          <w:szCs w:val="24"/>
        </w:rPr>
        <w:t xml:space="preserve"> such as anticoagulants, cardiovascular drugs, non</w:t>
      </w:r>
      <w:r w:rsidRPr="00B22946">
        <w:rPr>
          <w:rFonts w:cs="Times New Roman"/>
          <w:szCs w:val="24"/>
        </w:rPr>
        <w:t>-</w:t>
      </w:r>
      <w:r w:rsidR="00DE1F3E" w:rsidRPr="00B22946">
        <w:rPr>
          <w:rFonts w:cs="Times New Roman"/>
          <w:szCs w:val="24"/>
        </w:rPr>
        <w:t>steroidal anti-inflammatory drugs,</w:t>
      </w:r>
      <w:r w:rsidR="00C83C4A" w:rsidRPr="00B22946">
        <w:rPr>
          <w:rFonts w:cs="Times New Roman"/>
          <w:szCs w:val="24"/>
        </w:rPr>
        <w:t xml:space="preserve"> </w:t>
      </w:r>
      <w:r w:rsidR="00DE1F3E" w:rsidRPr="00B22946">
        <w:rPr>
          <w:rFonts w:cs="Times New Roman"/>
          <w:szCs w:val="24"/>
        </w:rPr>
        <w:t>and modified – rel</w:t>
      </w:r>
      <w:r w:rsidR="00C77E1F" w:rsidRPr="00B22946">
        <w:rPr>
          <w:rFonts w:cs="Times New Roman"/>
          <w:szCs w:val="24"/>
        </w:rPr>
        <w:t>ease formulations (Fitzgerald</w:t>
      </w:r>
      <w:r w:rsidR="00DE1F3E" w:rsidRPr="00B22946">
        <w:rPr>
          <w:rFonts w:cs="Times New Roman"/>
          <w:szCs w:val="24"/>
        </w:rPr>
        <w:t xml:space="preserve"> et al. 2009)</w:t>
      </w:r>
      <w:r w:rsidR="00BF0E24" w:rsidRPr="00B22946">
        <w:rPr>
          <w:rFonts w:cs="Times New Roman"/>
          <w:szCs w:val="24"/>
        </w:rPr>
        <w:t>.</w:t>
      </w:r>
      <w:r w:rsidR="000A6F5F">
        <w:rPr>
          <w:rFonts w:cs="Times New Roman"/>
          <w:szCs w:val="24"/>
        </w:rPr>
        <w:t xml:space="preserve"> </w:t>
      </w:r>
      <w:r w:rsidR="00DE1F3E" w:rsidRPr="00B22946">
        <w:rPr>
          <w:rFonts w:cs="Times New Roman"/>
          <w:szCs w:val="24"/>
        </w:rPr>
        <w:t xml:space="preserve">Heparin, a high-alert medication, remains </w:t>
      </w:r>
      <w:r w:rsidR="00AE4854">
        <w:rPr>
          <w:rFonts w:cs="Times New Roman"/>
          <w:szCs w:val="24"/>
        </w:rPr>
        <w:t xml:space="preserve">to be one of the </w:t>
      </w:r>
      <w:r w:rsidR="00DE1F3E" w:rsidRPr="00B22946">
        <w:rPr>
          <w:rFonts w:cs="Times New Roman"/>
          <w:szCs w:val="24"/>
        </w:rPr>
        <w:t>most common medicines invo</w:t>
      </w:r>
      <w:r w:rsidR="003E1BC8">
        <w:rPr>
          <w:rFonts w:cs="Times New Roman"/>
          <w:szCs w:val="24"/>
        </w:rPr>
        <w:t xml:space="preserve">lved in medication errors </w:t>
      </w:r>
      <w:r w:rsidR="00DD7C73" w:rsidRPr="00B22946">
        <w:rPr>
          <w:rFonts w:cs="Times New Roman"/>
          <w:szCs w:val="24"/>
        </w:rPr>
        <w:t>that have led to death</w:t>
      </w:r>
      <w:r w:rsidR="000A6F5F">
        <w:rPr>
          <w:rFonts w:cs="Times New Roman"/>
          <w:szCs w:val="24"/>
        </w:rPr>
        <w:t xml:space="preserve"> </w:t>
      </w:r>
      <w:r w:rsidR="00681800" w:rsidRPr="00B22946">
        <w:rPr>
          <w:rFonts w:cs="Times New Roman"/>
          <w:szCs w:val="24"/>
        </w:rPr>
        <w:t>(National Quality For</w:t>
      </w:r>
      <w:r w:rsidR="00006404" w:rsidRPr="00B22946">
        <w:rPr>
          <w:rFonts w:cs="Times New Roman"/>
          <w:szCs w:val="24"/>
        </w:rPr>
        <w:t>u</w:t>
      </w:r>
      <w:r w:rsidR="00681800" w:rsidRPr="00B22946">
        <w:rPr>
          <w:rFonts w:cs="Times New Roman"/>
          <w:szCs w:val="24"/>
        </w:rPr>
        <w:t xml:space="preserve">m </w:t>
      </w:r>
      <w:r w:rsidR="00DE1F3E" w:rsidRPr="00B22946">
        <w:rPr>
          <w:rFonts w:cs="Times New Roman"/>
          <w:szCs w:val="24"/>
        </w:rPr>
        <w:t>2010).</w:t>
      </w:r>
      <w:r w:rsidR="003E1BC8">
        <w:rPr>
          <w:rFonts w:cs="Times New Roman"/>
          <w:szCs w:val="24"/>
        </w:rPr>
        <w:t xml:space="preserve"> </w:t>
      </w:r>
      <w:r w:rsidR="00DE1F3E" w:rsidRPr="00B22946">
        <w:rPr>
          <w:rFonts w:cs="Times New Roman"/>
          <w:szCs w:val="24"/>
        </w:rPr>
        <w:t xml:space="preserve">The risk of inaccurate histories </w:t>
      </w:r>
      <w:r w:rsidR="00365E92" w:rsidRPr="00B22946">
        <w:rPr>
          <w:rFonts w:cs="Times New Roman"/>
          <w:szCs w:val="24"/>
        </w:rPr>
        <w:t>also increases with the presence of look</w:t>
      </w:r>
      <w:r w:rsidR="00AE4854">
        <w:rPr>
          <w:rFonts w:cs="Times New Roman"/>
          <w:szCs w:val="24"/>
        </w:rPr>
        <w:t>-</w:t>
      </w:r>
      <w:r w:rsidR="00365E92" w:rsidRPr="00B22946">
        <w:rPr>
          <w:rFonts w:cs="Times New Roman"/>
          <w:szCs w:val="24"/>
        </w:rPr>
        <w:t>alike</w:t>
      </w:r>
      <w:r w:rsidR="003E1BC8">
        <w:rPr>
          <w:rFonts w:cs="Times New Roman"/>
          <w:szCs w:val="24"/>
        </w:rPr>
        <w:t xml:space="preserve"> and </w:t>
      </w:r>
      <w:r w:rsidR="00DE1F3E" w:rsidRPr="00B22946">
        <w:rPr>
          <w:rFonts w:cs="Times New Roman"/>
          <w:szCs w:val="24"/>
        </w:rPr>
        <w:t xml:space="preserve">sound-alike medications, particularly when the patient </w:t>
      </w:r>
      <w:r w:rsidR="00365E92" w:rsidRPr="00B22946">
        <w:rPr>
          <w:rFonts w:cs="Times New Roman"/>
          <w:szCs w:val="24"/>
        </w:rPr>
        <w:t xml:space="preserve">is </w:t>
      </w:r>
      <w:r w:rsidR="00DE1F3E" w:rsidRPr="00B22946">
        <w:rPr>
          <w:rFonts w:cs="Times New Roman"/>
          <w:szCs w:val="24"/>
        </w:rPr>
        <w:t>not aware of the cause and</w:t>
      </w:r>
      <w:r w:rsidR="0079307A">
        <w:rPr>
          <w:rFonts w:cs="Times New Roman"/>
          <w:szCs w:val="24"/>
        </w:rPr>
        <w:t xml:space="preserve"> </w:t>
      </w:r>
      <w:r w:rsidR="00DE1F3E" w:rsidRPr="00B22946">
        <w:rPr>
          <w:rFonts w:cs="Times New Roman"/>
          <w:szCs w:val="24"/>
        </w:rPr>
        <w:t xml:space="preserve">benefit of the medicine </w:t>
      </w:r>
      <w:r w:rsidR="00365E92" w:rsidRPr="00B22946">
        <w:rPr>
          <w:rFonts w:cs="Times New Roman"/>
          <w:szCs w:val="24"/>
        </w:rPr>
        <w:t xml:space="preserve">in </w:t>
      </w:r>
      <w:r w:rsidR="00DE1F3E" w:rsidRPr="00B22946">
        <w:rPr>
          <w:rFonts w:cs="Times New Roman"/>
          <w:szCs w:val="24"/>
        </w:rPr>
        <w:t>his medication</w:t>
      </w:r>
      <w:r w:rsidR="0079307A">
        <w:rPr>
          <w:rFonts w:cs="Times New Roman"/>
          <w:szCs w:val="24"/>
        </w:rPr>
        <w:t xml:space="preserve"> </w:t>
      </w:r>
      <w:r w:rsidR="00365E92" w:rsidRPr="00B22946">
        <w:rPr>
          <w:rFonts w:cs="Times New Roman"/>
          <w:szCs w:val="24"/>
        </w:rPr>
        <w:t>list</w:t>
      </w:r>
      <w:r w:rsidR="0079307A">
        <w:rPr>
          <w:rFonts w:cs="Times New Roman"/>
          <w:szCs w:val="24"/>
        </w:rPr>
        <w:t xml:space="preserve"> </w:t>
      </w:r>
      <w:r w:rsidR="00895B09" w:rsidRPr="00B22946">
        <w:rPr>
          <w:rFonts w:cs="Times New Roman"/>
          <w:szCs w:val="24"/>
        </w:rPr>
        <w:t>(</w:t>
      </w:r>
      <w:r w:rsidR="00C77E1F" w:rsidRPr="00B22946">
        <w:rPr>
          <w:rFonts w:cs="Times New Roman"/>
          <w:szCs w:val="24"/>
        </w:rPr>
        <w:t xml:space="preserve">Gleason </w:t>
      </w:r>
      <w:r w:rsidR="00DE1F3E" w:rsidRPr="00B22946">
        <w:rPr>
          <w:rFonts w:cs="Times New Roman"/>
          <w:szCs w:val="24"/>
        </w:rPr>
        <w:t xml:space="preserve">et al. </w:t>
      </w:r>
      <w:r w:rsidR="00895B09" w:rsidRPr="00B22946">
        <w:rPr>
          <w:rFonts w:cs="Times New Roman"/>
          <w:szCs w:val="24"/>
        </w:rPr>
        <w:t>2010)</w:t>
      </w:r>
      <w:r w:rsidR="00DE1F3E" w:rsidRPr="00B22946">
        <w:rPr>
          <w:rFonts w:cs="Times New Roman"/>
          <w:szCs w:val="24"/>
        </w:rPr>
        <w:t>.</w:t>
      </w:r>
    </w:p>
    <w:p w:rsidR="00DE1F3E" w:rsidRPr="00B22946" w:rsidRDefault="00DE1F3E" w:rsidP="00B22946">
      <w:pPr>
        <w:pStyle w:val="Heading3"/>
        <w:spacing w:line="480" w:lineRule="auto"/>
        <w:rPr>
          <w:rFonts w:ascii="Times New Roman" w:hAnsi="Times New Roman" w:cs="Times New Roman"/>
          <w:color w:val="auto"/>
          <w:szCs w:val="24"/>
        </w:rPr>
      </w:pPr>
      <w:bookmarkStart w:id="6" w:name="_Toc15143761"/>
      <w:r w:rsidRPr="00B22946">
        <w:rPr>
          <w:rFonts w:ascii="Times New Roman" w:hAnsi="Times New Roman" w:cs="Times New Roman"/>
          <w:color w:val="auto"/>
          <w:szCs w:val="24"/>
        </w:rPr>
        <w:t xml:space="preserve">Professional </w:t>
      </w:r>
      <w:r w:rsidR="006047C9" w:rsidRPr="00B22946">
        <w:rPr>
          <w:rFonts w:ascii="Times New Roman" w:hAnsi="Times New Roman" w:cs="Times New Roman"/>
          <w:color w:val="auto"/>
          <w:szCs w:val="24"/>
        </w:rPr>
        <w:t>Care Provider Related Causes</w:t>
      </w:r>
      <w:bookmarkEnd w:id="6"/>
    </w:p>
    <w:p w:rsidR="006522D3" w:rsidRPr="00B22946" w:rsidRDefault="00147401" w:rsidP="00B22946">
      <w:pPr>
        <w:spacing w:line="480" w:lineRule="auto"/>
        <w:rPr>
          <w:rFonts w:cs="Times New Roman"/>
          <w:szCs w:val="24"/>
        </w:rPr>
      </w:pPr>
      <w:r w:rsidRPr="00B22946">
        <w:rPr>
          <w:rFonts w:cs="Times New Roman"/>
          <w:szCs w:val="24"/>
        </w:rPr>
        <w:t xml:space="preserve">Caregivers also contribute to inaccurate medical histories during patient admission. </w:t>
      </w:r>
      <w:r w:rsidR="00DE1F3E" w:rsidRPr="00B22946">
        <w:rPr>
          <w:rFonts w:cs="Times New Roman"/>
          <w:szCs w:val="24"/>
        </w:rPr>
        <w:t>One study found that the time of staff changing shift was related to higher medication error events (</w:t>
      </w:r>
      <w:r w:rsidR="00FB7F68" w:rsidRPr="00B22946">
        <w:rPr>
          <w:rFonts w:cs="Times New Roman"/>
          <w:szCs w:val="24"/>
        </w:rPr>
        <w:t xml:space="preserve">Agrawal </w:t>
      </w:r>
      <w:r w:rsidR="00DE1F3E" w:rsidRPr="00B22946">
        <w:rPr>
          <w:rFonts w:cs="Times New Roman"/>
          <w:szCs w:val="24"/>
        </w:rPr>
        <w:t>et al. 2009).</w:t>
      </w:r>
      <w:r w:rsidR="001729C2" w:rsidRPr="00B22946">
        <w:rPr>
          <w:rFonts w:cs="Times New Roman"/>
          <w:szCs w:val="24"/>
        </w:rPr>
        <w:t xml:space="preserve"> I</w:t>
      </w:r>
      <w:r w:rsidR="00DE1F3E" w:rsidRPr="00B22946">
        <w:rPr>
          <w:rFonts w:cs="Times New Roman"/>
          <w:szCs w:val="24"/>
        </w:rPr>
        <w:t>t is hard to apply medication reconciliation for all admitted patient due to a shortage of</w:t>
      </w:r>
      <w:r w:rsidR="001729C2" w:rsidRPr="00B22946">
        <w:rPr>
          <w:rFonts w:cs="Times New Roman"/>
          <w:szCs w:val="24"/>
        </w:rPr>
        <w:t xml:space="preserve"> staff</w:t>
      </w:r>
      <w:r w:rsidR="00DE1F3E" w:rsidRPr="00B22946">
        <w:rPr>
          <w:rFonts w:cs="Times New Roman"/>
          <w:szCs w:val="24"/>
        </w:rPr>
        <w:t>,</w:t>
      </w:r>
      <w:r w:rsidR="0079307A">
        <w:rPr>
          <w:rFonts w:cs="Times New Roman"/>
          <w:szCs w:val="24"/>
        </w:rPr>
        <w:t xml:space="preserve"> </w:t>
      </w:r>
      <w:r w:rsidR="00DE1F3E" w:rsidRPr="00B22946">
        <w:rPr>
          <w:rFonts w:cs="Times New Roman"/>
          <w:szCs w:val="24"/>
        </w:rPr>
        <w:t xml:space="preserve">other work liabilities, </w:t>
      </w:r>
      <w:r w:rsidR="001729C2" w:rsidRPr="00B22946">
        <w:rPr>
          <w:rFonts w:cs="Times New Roman"/>
          <w:szCs w:val="24"/>
        </w:rPr>
        <w:t xml:space="preserve">and </w:t>
      </w:r>
      <w:r w:rsidR="00DE1F3E" w:rsidRPr="00B22946">
        <w:rPr>
          <w:rFonts w:cs="Times New Roman"/>
          <w:szCs w:val="24"/>
        </w:rPr>
        <w:t>shortage of duty time (</w:t>
      </w:r>
      <w:r w:rsidR="00C77E1F" w:rsidRPr="00B22946">
        <w:rPr>
          <w:rFonts w:cs="Times New Roman"/>
          <w:szCs w:val="24"/>
        </w:rPr>
        <w:t xml:space="preserve">Mazhar, </w:t>
      </w:r>
      <w:r w:rsidR="00DE1F3E" w:rsidRPr="00B22946">
        <w:rPr>
          <w:rFonts w:cs="Times New Roman"/>
          <w:szCs w:val="24"/>
        </w:rPr>
        <w:t>et al</w:t>
      </w:r>
      <w:r w:rsidR="00323108" w:rsidRPr="00B22946">
        <w:rPr>
          <w:rFonts w:cs="Times New Roman"/>
          <w:szCs w:val="24"/>
        </w:rPr>
        <w:t xml:space="preserve">. </w:t>
      </w:r>
      <w:r w:rsidR="00DE1F3E" w:rsidRPr="00B22946">
        <w:rPr>
          <w:rFonts w:cs="Times New Roman"/>
          <w:szCs w:val="24"/>
        </w:rPr>
        <w:t>2017).</w:t>
      </w:r>
      <w:r w:rsidR="0067702C" w:rsidRPr="00B22946">
        <w:rPr>
          <w:rFonts w:cs="Times New Roman"/>
          <w:szCs w:val="24"/>
        </w:rPr>
        <w:t xml:space="preserve"> Mo</w:t>
      </w:r>
      <w:r w:rsidR="00DE1F3E" w:rsidRPr="00B22946">
        <w:rPr>
          <w:rFonts w:cs="Times New Roman"/>
          <w:szCs w:val="24"/>
        </w:rPr>
        <w:t>st junior doctor</w:t>
      </w:r>
      <w:r w:rsidR="0067702C" w:rsidRPr="00B22946">
        <w:rPr>
          <w:rFonts w:cs="Times New Roman"/>
          <w:szCs w:val="24"/>
        </w:rPr>
        <w:t>s</w:t>
      </w:r>
      <w:r w:rsidR="00DF1FA9" w:rsidRPr="00B22946">
        <w:rPr>
          <w:rFonts w:cs="Times New Roman"/>
          <w:szCs w:val="24"/>
        </w:rPr>
        <w:t xml:space="preserve"> lack experience to ex</w:t>
      </w:r>
      <w:r w:rsidR="00DE1F3E" w:rsidRPr="00B22946">
        <w:rPr>
          <w:rFonts w:cs="Times New Roman"/>
          <w:szCs w:val="24"/>
        </w:rPr>
        <w:t xml:space="preserve">tract the patient medication list from the health information system and </w:t>
      </w:r>
      <w:r w:rsidR="00574642" w:rsidRPr="00B22946">
        <w:rPr>
          <w:rFonts w:cs="Times New Roman"/>
          <w:szCs w:val="24"/>
        </w:rPr>
        <w:t xml:space="preserve">are knowledge deficient </w:t>
      </w:r>
      <w:r w:rsidR="00DE1F3E" w:rsidRPr="00B22946">
        <w:rPr>
          <w:rFonts w:cs="Times New Roman"/>
          <w:szCs w:val="24"/>
        </w:rPr>
        <w:t>in</w:t>
      </w:r>
      <w:r w:rsidR="00574642" w:rsidRPr="00B22946">
        <w:rPr>
          <w:rFonts w:cs="Times New Roman"/>
          <w:szCs w:val="24"/>
        </w:rPr>
        <w:t xml:space="preserve"> the vast</w:t>
      </w:r>
      <w:r w:rsidR="00DE1F3E" w:rsidRPr="00B22946">
        <w:rPr>
          <w:rFonts w:cs="Times New Roman"/>
          <w:szCs w:val="24"/>
        </w:rPr>
        <w:t xml:space="preserve"> medication types, side effects, and uses that cause incomplete and inaccurat</w:t>
      </w:r>
      <w:r w:rsidR="00574642" w:rsidRPr="00B22946">
        <w:rPr>
          <w:rFonts w:cs="Times New Roman"/>
          <w:szCs w:val="24"/>
        </w:rPr>
        <w:t xml:space="preserve">e medication history recording </w:t>
      </w:r>
      <w:r w:rsidR="007B54FC" w:rsidRPr="00B22946">
        <w:rPr>
          <w:rFonts w:cs="Times New Roman"/>
          <w:szCs w:val="24"/>
        </w:rPr>
        <w:t>(</w:t>
      </w:r>
      <w:r w:rsidR="00DE1F3E" w:rsidRPr="00B22946">
        <w:rPr>
          <w:rFonts w:cs="Times New Roman"/>
          <w:szCs w:val="24"/>
        </w:rPr>
        <w:t>Hogget al 2015)</w:t>
      </w:r>
      <w:r w:rsidR="00BA3CBC" w:rsidRPr="00B22946">
        <w:rPr>
          <w:rFonts w:cs="Times New Roman"/>
          <w:szCs w:val="24"/>
        </w:rPr>
        <w:t>.</w:t>
      </w:r>
      <w:r w:rsidR="00DE1F3E" w:rsidRPr="00B22946">
        <w:rPr>
          <w:rFonts w:cs="Times New Roman"/>
          <w:szCs w:val="24"/>
        </w:rPr>
        <w:t xml:space="preserve">Shortage of physician time and less experience with patient interview skills </w:t>
      </w:r>
      <w:r w:rsidR="00DB53CF" w:rsidRPr="00B22946">
        <w:rPr>
          <w:rFonts w:cs="Times New Roman"/>
          <w:szCs w:val="24"/>
        </w:rPr>
        <w:t>may</w:t>
      </w:r>
      <w:r w:rsidR="00DE1F3E" w:rsidRPr="00B22946">
        <w:rPr>
          <w:rFonts w:cs="Times New Roman"/>
          <w:szCs w:val="24"/>
        </w:rPr>
        <w:t xml:space="preserve"> affect the quality of medication histories. </w:t>
      </w:r>
    </w:p>
    <w:p w:rsidR="00DE1F3E" w:rsidRPr="00B22946" w:rsidRDefault="002767D2" w:rsidP="00B22946">
      <w:pPr>
        <w:pStyle w:val="Heading3"/>
        <w:spacing w:line="480" w:lineRule="auto"/>
        <w:rPr>
          <w:rFonts w:ascii="Times New Roman" w:hAnsi="Times New Roman" w:cs="Times New Roman"/>
          <w:color w:val="auto"/>
          <w:szCs w:val="24"/>
        </w:rPr>
      </w:pPr>
      <w:bookmarkStart w:id="7" w:name="_Toc15143762"/>
      <w:r w:rsidRPr="00B22946">
        <w:rPr>
          <w:rFonts w:ascii="Times New Roman" w:hAnsi="Times New Roman" w:cs="Times New Roman"/>
          <w:color w:val="auto"/>
          <w:szCs w:val="24"/>
        </w:rPr>
        <w:t>Medication Lists in Electronic Medical Records</w:t>
      </w:r>
      <w:bookmarkEnd w:id="7"/>
    </w:p>
    <w:p w:rsidR="00DE1F3E" w:rsidRPr="00B22946" w:rsidRDefault="000448E3" w:rsidP="00B22946">
      <w:pPr>
        <w:spacing w:line="480" w:lineRule="auto"/>
        <w:rPr>
          <w:rFonts w:cs="Times New Roman"/>
          <w:szCs w:val="24"/>
        </w:rPr>
      </w:pPr>
      <w:r w:rsidRPr="00B22946">
        <w:rPr>
          <w:rFonts w:cs="Times New Roman"/>
          <w:szCs w:val="24"/>
        </w:rPr>
        <w:t>Electronic Medical Records (EMRs)</w:t>
      </w:r>
      <w:r w:rsidR="00DE1F3E" w:rsidRPr="00B22946">
        <w:rPr>
          <w:rFonts w:cs="Times New Roman"/>
          <w:szCs w:val="24"/>
        </w:rPr>
        <w:t xml:space="preserve"> can be a reason for the prescription error</w:t>
      </w:r>
      <w:r w:rsidR="00BB5125" w:rsidRPr="00B22946">
        <w:rPr>
          <w:rFonts w:cs="Times New Roman"/>
          <w:szCs w:val="24"/>
        </w:rPr>
        <w:t xml:space="preserve">. </w:t>
      </w:r>
      <w:r w:rsidR="00DE1F3E" w:rsidRPr="00B22946">
        <w:rPr>
          <w:rFonts w:cs="Times New Roman"/>
          <w:szCs w:val="24"/>
        </w:rPr>
        <w:t xml:space="preserve">One study showed that medication history </w:t>
      </w:r>
      <w:r w:rsidR="005A2F71" w:rsidRPr="00B22946">
        <w:rPr>
          <w:rFonts w:cs="Times New Roman"/>
          <w:szCs w:val="24"/>
        </w:rPr>
        <w:t xml:space="preserve">entered in the EMR system by </w:t>
      </w:r>
      <w:r w:rsidR="00DE1F3E" w:rsidRPr="00B22946">
        <w:rPr>
          <w:rFonts w:cs="Times New Roman"/>
          <w:szCs w:val="24"/>
        </w:rPr>
        <w:t>cardiologists and</w:t>
      </w:r>
      <w:r w:rsidR="008416EF">
        <w:rPr>
          <w:rFonts w:cs="Times New Roman"/>
          <w:szCs w:val="24"/>
        </w:rPr>
        <w:t xml:space="preserve"> </w:t>
      </w:r>
      <w:r w:rsidR="00DE1F3E" w:rsidRPr="00B22946">
        <w:rPr>
          <w:rFonts w:cs="Times New Roman"/>
          <w:szCs w:val="24"/>
        </w:rPr>
        <w:t>respiratory physicians have more details than others (</w:t>
      </w:r>
      <w:r w:rsidR="00006404" w:rsidRPr="00B22946">
        <w:rPr>
          <w:rFonts w:cs="Times New Roman"/>
          <w:szCs w:val="24"/>
        </w:rPr>
        <w:t xml:space="preserve">Agrawal </w:t>
      </w:r>
      <w:r w:rsidR="00DE1F3E" w:rsidRPr="00B22946">
        <w:rPr>
          <w:rFonts w:cs="Times New Roman"/>
          <w:szCs w:val="24"/>
        </w:rPr>
        <w:t xml:space="preserve">et al. </w:t>
      </w:r>
      <w:r w:rsidR="005A2F71" w:rsidRPr="00B22946">
        <w:rPr>
          <w:rFonts w:cs="Times New Roman"/>
          <w:szCs w:val="24"/>
        </w:rPr>
        <w:t>2009) do</w:t>
      </w:r>
      <w:r w:rsidR="00DE1F3E" w:rsidRPr="00B22946">
        <w:rPr>
          <w:rFonts w:cs="Times New Roman"/>
          <w:szCs w:val="24"/>
        </w:rPr>
        <w:t>.</w:t>
      </w:r>
    </w:p>
    <w:p w:rsidR="00DE1F3E" w:rsidRPr="00B22946" w:rsidRDefault="00DE1F3E" w:rsidP="00B22946">
      <w:pPr>
        <w:pStyle w:val="Heading3"/>
        <w:spacing w:line="480" w:lineRule="auto"/>
        <w:rPr>
          <w:rFonts w:ascii="Times New Roman" w:hAnsi="Times New Roman" w:cs="Times New Roman"/>
          <w:color w:val="auto"/>
          <w:szCs w:val="24"/>
        </w:rPr>
      </w:pPr>
      <w:bookmarkStart w:id="8" w:name="_Toc15143763"/>
      <w:r w:rsidRPr="00B22946">
        <w:rPr>
          <w:rFonts w:ascii="Times New Roman" w:hAnsi="Times New Roman" w:cs="Times New Roman"/>
          <w:color w:val="auto"/>
          <w:szCs w:val="24"/>
        </w:rPr>
        <w:t xml:space="preserve">Communication </w:t>
      </w:r>
      <w:r w:rsidR="009F16C6" w:rsidRPr="00B22946">
        <w:rPr>
          <w:rFonts w:ascii="Times New Roman" w:hAnsi="Times New Roman" w:cs="Times New Roman"/>
          <w:color w:val="auto"/>
          <w:szCs w:val="24"/>
        </w:rPr>
        <w:t>System</w:t>
      </w:r>
      <w:bookmarkEnd w:id="8"/>
    </w:p>
    <w:p w:rsidR="00DE1F3E" w:rsidRPr="00B22946" w:rsidRDefault="00DE1F3E" w:rsidP="00B22946">
      <w:pPr>
        <w:spacing w:line="480" w:lineRule="auto"/>
        <w:rPr>
          <w:rFonts w:cs="Times New Roman"/>
          <w:szCs w:val="24"/>
        </w:rPr>
      </w:pPr>
      <w:r w:rsidRPr="00B22946">
        <w:rPr>
          <w:rFonts w:cs="Times New Roman"/>
          <w:szCs w:val="24"/>
        </w:rPr>
        <w:t xml:space="preserve">Prescribing of medication </w:t>
      </w:r>
      <w:r w:rsidR="00CF783C" w:rsidRPr="00B22946">
        <w:rPr>
          <w:rFonts w:cs="Times New Roman"/>
          <w:szCs w:val="24"/>
        </w:rPr>
        <w:t>for the patient by physicians</w:t>
      </w:r>
      <w:r w:rsidRPr="00B22946">
        <w:rPr>
          <w:rFonts w:cs="Times New Roman"/>
          <w:szCs w:val="24"/>
        </w:rPr>
        <w:t xml:space="preserve"> working in a different hospital</w:t>
      </w:r>
      <w:r w:rsidR="008416EF">
        <w:rPr>
          <w:rFonts w:cs="Times New Roman"/>
          <w:szCs w:val="24"/>
        </w:rPr>
        <w:t xml:space="preserve"> </w:t>
      </w:r>
      <w:r w:rsidRPr="00B22946">
        <w:rPr>
          <w:rFonts w:cs="Times New Roman"/>
          <w:szCs w:val="24"/>
        </w:rPr>
        <w:t>with a shortage of communication between</w:t>
      </w:r>
      <w:r w:rsidR="00CF783C" w:rsidRPr="00B22946">
        <w:rPr>
          <w:rFonts w:cs="Times New Roman"/>
          <w:szCs w:val="24"/>
        </w:rPr>
        <w:t xml:space="preserve"> them and the patients have often proven to be more error-prone than those who first undertake a lengthy interview with the patients</w:t>
      </w:r>
      <w:r w:rsidRPr="00B22946">
        <w:rPr>
          <w:rFonts w:cs="Times New Roman"/>
          <w:szCs w:val="24"/>
        </w:rPr>
        <w:t xml:space="preserve"> (</w:t>
      </w:r>
      <w:r w:rsidR="008416EF" w:rsidRPr="00B22946">
        <w:rPr>
          <w:rFonts w:cs="Times New Roman"/>
          <w:szCs w:val="24"/>
        </w:rPr>
        <w:t>AbuYassin</w:t>
      </w:r>
      <w:r w:rsidR="00CF783C" w:rsidRPr="00B22946">
        <w:rPr>
          <w:rFonts w:cs="Times New Roman"/>
          <w:szCs w:val="24"/>
        </w:rPr>
        <w:t xml:space="preserve"> al.</w:t>
      </w:r>
      <w:r w:rsidR="008416EF">
        <w:rPr>
          <w:rFonts w:cs="Times New Roman"/>
          <w:szCs w:val="24"/>
        </w:rPr>
        <w:t xml:space="preserve">, </w:t>
      </w:r>
      <w:r w:rsidR="00CF783C" w:rsidRPr="00B22946">
        <w:rPr>
          <w:rFonts w:cs="Times New Roman"/>
          <w:szCs w:val="24"/>
        </w:rPr>
        <w:t>2011)</w:t>
      </w:r>
      <w:r w:rsidR="001B10C7" w:rsidRPr="00B22946">
        <w:rPr>
          <w:rFonts w:cs="Times New Roman"/>
          <w:szCs w:val="24"/>
        </w:rPr>
        <w:t xml:space="preserve">. </w:t>
      </w:r>
      <w:r w:rsidR="007D7EBA">
        <w:rPr>
          <w:rFonts w:cs="Times New Roman"/>
          <w:szCs w:val="24"/>
        </w:rPr>
        <w:t>Poor</w:t>
      </w:r>
      <w:r w:rsidRPr="00B22946">
        <w:rPr>
          <w:rFonts w:cs="Times New Roman"/>
          <w:szCs w:val="24"/>
        </w:rPr>
        <w:t xml:space="preserve"> communication between pro</w:t>
      </w:r>
      <w:r w:rsidR="001B10C7" w:rsidRPr="00B22946">
        <w:rPr>
          <w:rFonts w:cs="Times New Roman"/>
          <w:szCs w:val="24"/>
        </w:rPr>
        <w:t>fessional health caregiver and</w:t>
      </w:r>
      <w:r w:rsidRPr="00B22946">
        <w:rPr>
          <w:rFonts w:cs="Times New Roman"/>
          <w:szCs w:val="24"/>
        </w:rPr>
        <w:t xml:space="preserve"> with the</w:t>
      </w:r>
      <w:r w:rsidR="008416EF">
        <w:rPr>
          <w:rFonts w:cs="Times New Roman"/>
          <w:szCs w:val="24"/>
        </w:rPr>
        <w:t xml:space="preserve"> </w:t>
      </w:r>
      <w:r w:rsidRPr="00B22946">
        <w:rPr>
          <w:rFonts w:cs="Times New Roman"/>
          <w:szCs w:val="24"/>
        </w:rPr>
        <w:t xml:space="preserve">community pharmacy </w:t>
      </w:r>
      <w:r w:rsidR="007D7EBA">
        <w:rPr>
          <w:rFonts w:cs="Times New Roman"/>
          <w:szCs w:val="24"/>
        </w:rPr>
        <w:t>during</w:t>
      </w:r>
      <w:r w:rsidRPr="00B22946">
        <w:rPr>
          <w:rFonts w:cs="Times New Roman"/>
          <w:szCs w:val="24"/>
        </w:rPr>
        <w:t xml:space="preserve"> patient</w:t>
      </w:r>
      <w:r w:rsidR="007D7EBA">
        <w:rPr>
          <w:rFonts w:cs="Times New Roman"/>
          <w:szCs w:val="24"/>
        </w:rPr>
        <w:t>’s admission</w:t>
      </w:r>
      <w:r w:rsidRPr="00B22946">
        <w:rPr>
          <w:rFonts w:cs="Times New Roman"/>
          <w:szCs w:val="24"/>
        </w:rPr>
        <w:t xml:space="preserve"> to the hospital</w:t>
      </w:r>
      <w:r w:rsidR="001B10C7" w:rsidRPr="00B22946">
        <w:rPr>
          <w:rFonts w:cs="Times New Roman"/>
          <w:szCs w:val="24"/>
        </w:rPr>
        <w:t xml:space="preserve"> is also a leading cause of medication history errors during admission (</w:t>
      </w:r>
      <w:r w:rsidR="00A560B4" w:rsidRPr="00B22946">
        <w:rPr>
          <w:rFonts w:cs="Times New Roman"/>
          <w:szCs w:val="24"/>
        </w:rPr>
        <w:t>Lau</w:t>
      </w:r>
      <w:r w:rsidR="001B10C7" w:rsidRPr="00B22946">
        <w:rPr>
          <w:rFonts w:cs="Times New Roman"/>
          <w:szCs w:val="24"/>
        </w:rPr>
        <w:t xml:space="preserve"> et al</w:t>
      </w:r>
      <w:r w:rsidR="001E53AF" w:rsidRPr="00B22946">
        <w:rPr>
          <w:rFonts w:cs="Times New Roman"/>
          <w:szCs w:val="24"/>
        </w:rPr>
        <w:t>.</w:t>
      </w:r>
      <w:r w:rsidR="001B10C7" w:rsidRPr="00B22946">
        <w:rPr>
          <w:rFonts w:cs="Times New Roman"/>
          <w:szCs w:val="24"/>
        </w:rPr>
        <w:t xml:space="preserve"> 2000)</w:t>
      </w:r>
      <w:r w:rsidR="008D2A34" w:rsidRPr="00B22946">
        <w:rPr>
          <w:rFonts w:cs="Times New Roman"/>
          <w:szCs w:val="24"/>
        </w:rPr>
        <w:t>.</w:t>
      </w:r>
      <w:r w:rsidR="0075402B" w:rsidRPr="00B22946">
        <w:rPr>
          <w:rFonts w:cs="Times New Roman"/>
          <w:szCs w:val="24"/>
        </w:rPr>
        <w:t xml:space="preserve"> A systematic review of hundreds </w:t>
      </w:r>
      <w:r w:rsidRPr="00B22946">
        <w:rPr>
          <w:rFonts w:cs="Times New Roman"/>
          <w:szCs w:val="24"/>
        </w:rPr>
        <w:t xml:space="preserve">of </w:t>
      </w:r>
      <w:r w:rsidR="0075402B" w:rsidRPr="00B22946">
        <w:rPr>
          <w:rFonts w:cs="Times New Roman"/>
          <w:szCs w:val="24"/>
        </w:rPr>
        <w:t xml:space="preserve">healthcare </w:t>
      </w:r>
      <w:r w:rsidRPr="00B22946">
        <w:rPr>
          <w:rFonts w:cs="Times New Roman"/>
          <w:szCs w:val="24"/>
        </w:rPr>
        <w:t>organizations showed that about half of all hospital medication errors and 20% of adverse drug events resulted from miscommunication at</w:t>
      </w:r>
      <w:r w:rsidR="008416EF">
        <w:rPr>
          <w:rFonts w:cs="Times New Roman"/>
          <w:szCs w:val="24"/>
        </w:rPr>
        <w:t xml:space="preserve"> </w:t>
      </w:r>
      <w:r w:rsidRPr="00B22946">
        <w:rPr>
          <w:rFonts w:cs="Times New Roman"/>
          <w:szCs w:val="24"/>
        </w:rPr>
        <w:t xml:space="preserve">transition points </w:t>
      </w:r>
      <w:r w:rsidR="00573A31" w:rsidRPr="00B22946">
        <w:rPr>
          <w:rFonts w:cs="Times New Roman"/>
          <w:szCs w:val="24"/>
        </w:rPr>
        <w:t>(Almanasreh</w:t>
      </w:r>
      <w:r w:rsidRPr="00B22946">
        <w:rPr>
          <w:rFonts w:cs="Times New Roman"/>
          <w:szCs w:val="24"/>
        </w:rPr>
        <w:t xml:space="preserve"> et al. 2016)</w:t>
      </w:r>
      <w:r w:rsidR="00443F51" w:rsidRPr="00B22946">
        <w:rPr>
          <w:rFonts w:cs="Times New Roman"/>
          <w:szCs w:val="24"/>
        </w:rPr>
        <w:t>.</w:t>
      </w:r>
    </w:p>
    <w:p w:rsidR="007C10CE" w:rsidRPr="007C10CE" w:rsidRDefault="007C10CE" w:rsidP="00B22946">
      <w:pPr>
        <w:spacing w:line="480" w:lineRule="auto"/>
        <w:rPr>
          <w:rFonts w:cs="Times New Roman"/>
          <w:b/>
          <w:szCs w:val="24"/>
        </w:rPr>
      </w:pPr>
      <w:r w:rsidRPr="007C10CE">
        <w:rPr>
          <w:rFonts w:cs="Times New Roman"/>
          <w:b/>
          <w:szCs w:val="24"/>
        </w:rPr>
        <w:t>Steps to Reduce Inaccurate Patient Medication History</w:t>
      </w:r>
    </w:p>
    <w:p w:rsidR="00DE1F3E" w:rsidRPr="00B22946" w:rsidRDefault="00565283" w:rsidP="00B22946">
      <w:pPr>
        <w:spacing w:line="480" w:lineRule="auto"/>
        <w:rPr>
          <w:rFonts w:cs="Times New Roman"/>
          <w:szCs w:val="24"/>
        </w:rPr>
      </w:pPr>
      <w:r w:rsidRPr="00B22946">
        <w:rPr>
          <w:rFonts w:cs="Times New Roman"/>
          <w:szCs w:val="24"/>
        </w:rPr>
        <w:t>Many strategies</w:t>
      </w:r>
      <w:r w:rsidR="002F033E" w:rsidRPr="00B22946">
        <w:rPr>
          <w:rFonts w:cs="Times New Roman"/>
          <w:szCs w:val="24"/>
        </w:rPr>
        <w:t xml:space="preserve"> can be applied t</w:t>
      </w:r>
      <w:r w:rsidR="00DE1F3E" w:rsidRPr="00B22946">
        <w:rPr>
          <w:rFonts w:cs="Times New Roman"/>
          <w:szCs w:val="24"/>
        </w:rPr>
        <w:t>o obtain the best available patient medication history and decrease the consequence of medication errors</w:t>
      </w:r>
      <w:r w:rsidR="002F033E" w:rsidRPr="00B22946">
        <w:rPr>
          <w:rFonts w:cs="Times New Roman"/>
          <w:szCs w:val="24"/>
        </w:rPr>
        <w:t>.</w:t>
      </w:r>
      <w:r w:rsidR="00DE1F3E" w:rsidRPr="00B22946">
        <w:rPr>
          <w:rFonts w:cs="Times New Roman"/>
          <w:szCs w:val="24"/>
        </w:rPr>
        <w:t xml:space="preserve"> Involving pharmacists in patient medication history collecting and recording process upon patient admission</w:t>
      </w:r>
      <w:r w:rsidR="0098491A" w:rsidRPr="00B22946">
        <w:rPr>
          <w:rFonts w:cs="Times New Roman"/>
          <w:szCs w:val="24"/>
        </w:rPr>
        <w:t xml:space="preserve"> has shown to improve the accuracy of medication history</w:t>
      </w:r>
      <w:r w:rsidR="00141700" w:rsidRPr="00B22946">
        <w:rPr>
          <w:rFonts w:cs="Times New Roman"/>
          <w:szCs w:val="24"/>
        </w:rPr>
        <w:t xml:space="preserve">, </w:t>
      </w:r>
      <w:r w:rsidR="00DE1F3E" w:rsidRPr="00B22946">
        <w:rPr>
          <w:rFonts w:cs="Times New Roman"/>
          <w:szCs w:val="24"/>
        </w:rPr>
        <w:t>high ability to recognize medication-related problems, visible reduction in medication</w:t>
      </w:r>
      <w:r w:rsidR="000349EA" w:rsidRPr="00B22946">
        <w:rPr>
          <w:rFonts w:cs="Times New Roman"/>
          <w:szCs w:val="24"/>
        </w:rPr>
        <w:t xml:space="preserve"> errors and preventable ADRs. The improvements can also emanate from </w:t>
      </w:r>
      <w:r w:rsidR="00DE1F3E" w:rsidRPr="00B22946">
        <w:rPr>
          <w:rFonts w:cs="Times New Roman"/>
          <w:szCs w:val="24"/>
        </w:rPr>
        <w:t>the pharmacist’s education, good experience in patient interview and counseling skills, extensive knowledge of medication names, formulation, side effects and</w:t>
      </w:r>
      <w:r w:rsidR="00BC54DB">
        <w:rPr>
          <w:rFonts w:cs="Times New Roman"/>
          <w:szCs w:val="24"/>
        </w:rPr>
        <w:t xml:space="preserve"> </w:t>
      </w:r>
      <w:r w:rsidR="00DE1F3E" w:rsidRPr="00B22946">
        <w:rPr>
          <w:rFonts w:cs="Times New Roman"/>
          <w:szCs w:val="24"/>
        </w:rPr>
        <w:t>brand names (</w:t>
      </w:r>
      <w:r w:rsidR="00006404" w:rsidRPr="00B22946">
        <w:rPr>
          <w:rFonts w:cs="Times New Roman"/>
          <w:szCs w:val="24"/>
        </w:rPr>
        <w:t>Gleason</w:t>
      </w:r>
      <w:r w:rsidR="00DE1F3E" w:rsidRPr="00B22946">
        <w:rPr>
          <w:rFonts w:cs="Times New Roman"/>
          <w:szCs w:val="24"/>
        </w:rPr>
        <w:t xml:space="preserve"> et a</w:t>
      </w:r>
      <w:r w:rsidR="00006404" w:rsidRPr="00B22946">
        <w:rPr>
          <w:rFonts w:cs="Times New Roman"/>
          <w:szCs w:val="24"/>
        </w:rPr>
        <w:t xml:space="preserve">l. 2004, Hogg et </w:t>
      </w:r>
      <w:r w:rsidR="0051463F" w:rsidRPr="00B22946">
        <w:rPr>
          <w:rFonts w:cs="Times New Roman"/>
          <w:szCs w:val="24"/>
        </w:rPr>
        <w:t>al 2015). A s</w:t>
      </w:r>
      <w:r w:rsidR="00DE1F3E" w:rsidRPr="00B22946">
        <w:rPr>
          <w:rFonts w:cs="Times New Roman"/>
          <w:szCs w:val="24"/>
        </w:rPr>
        <w:t>ystemic review</w:t>
      </w:r>
      <w:r w:rsidR="0051463F" w:rsidRPr="00B22946">
        <w:rPr>
          <w:rFonts w:cs="Times New Roman"/>
          <w:szCs w:val="24"/>
        </w:rPr>
        <w:t xml:space="preserve"> of hospital data showed that the</w:t>
      </w:r>
      <w:r w:rsidR="00DE1F3E" w:rsidRPr="00B22946">
        <w:rPr>
          <w:rFonts w:cs="Times New Roman"/>
          <w:szCs w:val="24"/>
        </w:rPr>
        <w:t xml:space="preserve"> medication history obtained by </w:t>
      </w:r>
      <w:r w:rsidR="00066B3D" w:rsidRPr="00B22946">
        <w:rPr>
          <w:rFonts w:cs="Times New Roman"/>
          <w:szCs w:val="24"/>
        </w:rPr>
        <w:t>p</w:t>
      </w:r>
      <w:r w:rsidR="0051463F" w:rsidRPr="00B22946">
        <w:rPr>
          <w:rFonts w:cs="Times New Roman"/>
          <w:szCs w:val="24"/>
        </w:rPr>
        <w:t>harmacist</w:t>
      </w:r>
      <w:r w:rsidR="00066B3D" w:rsidRPr="00B22946">
        <w:rPr>
          <w:rFonts w:cs="Times New Roman"/>
          <w:szCs w:val="24"/>
        </w:rPr>
        <w:t>s</w:t>
      </w:r>
      <w:r w:rsidR="0051463F" w:rsidRPr="00B22946">
        <w:rPr>
          <w:rFonts w:cs="Times New Roman"/>
          <w:szCs w:val="24"/>
        </w:rPr>
        <w:t xml:space="preserve"> i</w:t>
      </w:r>
      <w:r w:rsidR="00DE1F3E" w:rsidRPr="00B22946">
        <w:rPr>
          <w:rFonts w:cs="Times New Roman"/>
          <w:szCs w:val="24"/>
        </w:rPr>
        <w:t xml:space="preserve">ntroduced 87% more information than physician-obtained medication </w:t>
      </w:r>
      <w:r w:rsidR="001F3649" w:rsidRPr="00B22946">
        <w:rPr>
          <w:rFonts w:cs="Times New Roman"/>
          <w:szCs w:val="24"/>
        </w:rPr>
        <w:t>histories</w:t>
      </w:r>
      <w:r w:rsidR="002A6FDD">
        <w:rPr>
          <w:rFonts w:cs="Times New Roman"/>
          <w:szCs w:val="24"/>
        </w:rPr>
        <w:t xml:space="preserve"> </w:t>
      </w:r>
      <w:r w:rsidR="00DE1F3E" w:rsidRPr="00B22946">
        <w:rPr>
          <w:rFonts w:cs="Times New Roman"/>
          <w:szCs w:val="24"/>
        </w:rPr>
        <w:t>(</w:t>
      </w:r>
      <w:r w:rsidR="00FB7F68" w:rsidRPr="00B22946">
        <w:rPr>
          <w:rFonts w:cs="Times New Roman"/>
          <w:szCs w:val="24"/>
        </w:rPr>
        <w:t xml:space="preserve">Tam </w:t>
      </w:r>
      <w:r w:rsidR="000C1567" w:rsidRPr="00B22946">
        <w:rPr>
          <w:rFonts w:cs="Times New Roman"/>
          <w:szCs w:val="24"/>
        </w:rPr>
        <w:t>et al.</w:t>
      </w:r>
      <w:r w:rsidR="002A6FDD">
        <w:rPr>
          <w:rFonts w:cs="Times New Roman"/>
          <w:szCs w:val="24"/>
        </w:rPr>
        <w:t>,</w:t>
      </w:r>
      <w:r w:rsidR="000C1567" w:rsidRPr="00B22946">
        <w:rPr>
          <w:rFonts w:cs="Times New Roman"/>
          <w:szCs w:val="24"/>
        </w:rPr>
        <w:t xml:space="preserve"> 2005).</w:t>
      </w:r>
      <w:r w:rsidR="002A6FDD">
        <w:rPr>
          <w:rFonts w:cs="Times New Roman"/>
          <w:szCs w:val="24"/>
        </w:rPr>
        <w:t xml:space="preserve"> </w:t>
      </w:r>
      <w:r w:rsidR="00DE1F3E" w:rsidRPr="00B22946">
        <w:rPr>
          <w:rFonts w:cs="Times New Roman"/>
          <w:szCs w:val="24"/>
        </w:rPr>
        <w:t>Involving pharmacist in patient</w:t>
      </w:r>
      <w:r w:rsidR="00F80B53">
        <w:rPr>
          <w:rFonts w:cs="Times New Roman"/>
          <w:szCs w:val="24"/>
        </w:rPr>
        <w:t>s’</w:t>
      </w:r>
      <w:r w:rsidR="002A6FDD">
        <w:rPr>
          <w:rFonts w:cs="Times New Roman"/>
          <w:szCs w:val="24"/>
        </w:rPr>
        <w:t xml:space="preserve"> </w:t>
      </w:r>
      <w:r w:rsidR="00175CBD" w:rsidRPr="00B22946">
        <w:rPr>
          <w:rFonts w:cs="Times New Roman"/>
          <w:szCs w:val="24"/>
        </w:rPr>
        <w:t>round</w:t>
      </w:r>
      <w:r w:rsidR="00175CBD">
        <w:rPr>
          <w:rFonts w:cs="Times New Roman"/>
          <w:szCs w:val="24"/>
        </w:rPr>
        <w:t>s</w:t>
      </w:r>
      <w:r w:rsidR="002A6FDD">
        <w:rPr>
          <w:rFonts w:cs="Times New Roman"/>
          <w:szCs w:val="24"/>
        </w:rPr>
        <w:t xml:space="preserve"> </w:t>
      </w:r>
      <w:r w:rsidR="00175CBD">
        <w:rPr>
          <w:rFonts w:cs="Times New Roman"/>
          <w:szCs w:val="24"/>
        </w:rPr>
        <w:t>in</w:t>
      </w:r>
      <w:r w:rsidR="00F80B53">
        <w:rPr>
          <w:rFonts w:cs="Times New Roman"/>
          <w:szCs w:val="24"/>
        </w:rPr>
        <w:t xml:space="preserve"> the wards </w:t>
      </w:r>
      <w:r w:rsidR="00DE1F3E" w:rsidRPr="00B22946">
        <w:rPr>
          <w:rFonts w:cs="Times New Roman"/>
          <w:szCs w:val="24"/>
        </w:rPr>
        <w:t xml:space="preserve">resulted </w:t>
      </w:r>
      <w:r w:rsidR="0090442D" w:rsidRPr="00B22946">
        <w:rPr>
          <w:rFonts w:cs="Times New Roman"/>
          <w:szCs w:val="24"/>
        </w:rPr>
        <w:t xml:space="preserve">in reduction </w:t>
      </w:r>
      <w:r w:rsidR="00F80B53">
        <w:rPr>
          <w:rFonts w:cs="Times New Roman"/>
          <w:szCs w:val="24"/>
        </w:rPr>
        <w:t>of preventable a</w:t>
      </w:r>
      <w:r w:rsidR="0090442D" w:rsidRPr="00B22946">
        <w:rPr>
          <w:rFonts w:cs="Times New Roman"/>
          <w:szCs w:val="24"/>
        </w:rPr>
        <w:t>dverse drug reactions</w:t>
      </w:r>
      <w:r w:rsidR="00DE1F3E" w:rsidRPr="00B22946">
        <w:rPr>
          <w:rFonts w:cs="Times New Roman"/>
          <w:szCs w:val="24"/>
        </w:rPr>
        <w:t xml:space="preserve"> by 66%-</w:t>
      </w:r>
      <w:r w:rsidR="00D81285" w:rsidRPr="00B22946">
        <w:rPr>
          <w:rFonts w:cs="Times New Roman"/>
          <w:szCs w:val="24"/>
        </w:rPr>
        <w:t>78% (</w:t>
      </w:r>
      <w:r w:rsidR="00DE1F3E" w:rsidRPr="00B22946">
        <w:rPr>
          <w:rFonts w:cs="Times New Roman"/>
          <w:szCs w:val="24"/>
        </w:rPr>
        <w:t>National Quality Form 2010)</w:t>
      </w:r>
      <w:r w:rsidR="00D81285" w:rsidRPr="00B22946">
        <w:rPr>
          <w:rFonts w:cs="Times New Roman"/>
          <w:szCs w:val="24"/>
        </w:rPr>
        <w:t>.</w:t>
      </w:r>
      <w:r w:rsidR="00DE1F3E" w:rsidRPr="00B22946">
        <w:rPr>
          <w:rFonts w:cs="Times New Roman"/>
          <w:szCs w:val="24"/>
        </w:rPr>
        <w:t>Involving pharmacist</w:t>
      </w:r>
      <w:r w:rsidR="001D3F0F" w:rsidRPr="00B22946">
        <w:rPr>
          <w:rFonts w:cs="Times New Roman"/>
          <w:szCs w:val="24"/>
        </w:rPr>
        <w:t>s</w:t>
      </w:r>
      <w:r w:rsidR="00DE1F3E" w:rsidRPr="00B22946">
        <w:rPr>
          <w:rFonts w:cs="Times New Roman"/>
          <w:szCs w:val="24"/>
        </w:rPr>
        <w:t xml:space="preserve"> in medication prescribing resolution would have a potentially</w:t>
      </w:r>
      <w:r w:rsidR="002A6FDD">
        <w:rPr>
          <w:rFonts w:cs="Times New Roman"/>
          <w:szCs w:val="24"/>
        </w:rPr>
        <w:t xml:space="preserve"> </w:t>
      </w:r>
      <w:r w:rsidR="00DE1F3E" w:rsidRPr="00B22946">
        <w:rPr>
          <w:rFonts w:cs="Times New Roman"/>
          <w:szCs w:val="24"/>
        </w:rPr>
        <w:t>positive effect on medicati</w:t>
      </w:r>
      <w:r w:rsidR="009E00BF" w:rsidRPr="00B22946">
        <w:rPr>
          <w:rFonts w:cs="Times New Roman"/>
          <w:szCs w:val="24"/>
        </w:rPr>
        <w:t>on safety and health care costs.</w:t>
      </w:r>
    </w:p>
    <w:p w:rsidR="00DE1F3E" w:rsidRPr="00B22946" w:rsidRDefault="00DE1F3E" w:rsidP="00B22946">
      <w:pPr>
        <w:spacing w:line="480" w:lineRule="auto"/>
        <w:rPr>
          <w:rFonts w:cs="Times New Roman"/>
          <w:szCs w:val="24"/>
        </w:rPr>
      </w:pPr>
      <w:r w:rsidRPr="00B22946">
        <w:rPr>
          <w:rFonts w:cs="Times New Roman"/>
          <w:szCs w:val="24"/>
        </w:rPr>
        <w:t>Education of health care professional</w:t>
      </w:r>
      <w:r w:rsidR="00965FDB" w:rsidRPr="00B22946">
        <w:rPr>
          <w:rFonts w:cs="Times New Roman"/>
          <w:szCs w:val="24"/>
        </w:rPr>
        <w:t>s</w:t>
      </w:r>
      <w:r w:rsidRPr="00B22946">
        <w:rPr>
          <w:rFonts w:cs="Times New Roman"/>
          <w:szCs w:val="24"/>
        </w:rPr>
        <w:t xml:space="preserve"> with the benefit</w:t>
      </w:r>
      <w:r w:rsidR="00750034" w:rsidRPr="00B22946">
        <w:rPr>
          <w:rFonts w:cs="Times New Roman"/>
          <w:szCs w:val="24"/>
        </w:rPr>
        <w:t>s</w:t>
      </w:r>
      <w:r w:rsidRPr="00B22946">
        <w:rPr>
          <w:rFonts w:cs="Times New Roman"/>
          <w:szCs w:val="24"/>
        </w:rPr>
        <w:t xml:space="preserve"> of maintaining accurate </w:t>
      </w:r>
      <w:r w:rsidR="00750034" w:rsidRPr="00B22946">
        <w:rPr>
          <w:rFonts w:cs="Times New Roman"/>
          <w:szCs w:val="24"/>
        </w:rPr>
        <w:t>patient medication</w:t>
      </w:r>
      <w:r w:rsidRPr="00B22946">
        <w:rPr>
          <w:rFonts w:cs="Times New Roman"/>
          <w:szCs w:val="24"/>
        </w:rPr>
        <w:t xml:space="preserve"> list and how its inaccuracy will cause medication errors and patient harm</w:t>
      </w:r>
      <w:r w:rsidR="00750034" w:rsidRPr="00B22946">
        <w:rPr>
          <w:rFonts w:cs="Times New Roman"/>
          <w:szCs w:val="24"/>
        </w:rPr>
        <w:t xml:space="preserve"> is another strategy to address errors in medication </w:t>
      </w:r>
      <w:r w:rsidR="00ED4DBC" w:rsidRPr="00B22946">
        <w:rPr>
          <w:rFonts w:cs="Times New Roman"/>
          <w:szCs w:val="24"/>
        </w:rPr>
        <w:t>history</w:t>
      </w:r>
      <w:r w:rsidR="00750034" w:rsidRPr="00B22946">
        <w:rPr>
          <w:rFonts w:cs="Times New Roman"/>
          <w:szCs w:val="24"/>
        </w:rPr>
        <w:t>(</w:t>
      </w:r>
      <w:r w:rsidR="0047532B" w:rsidRPr="00B22946">
        <w:rPr>
          <w:rFonts w:cs="Times New Roman"/>
          <w:szCs w:val="24"/>
        </w:rPr>
        <w:t>Gleason et al</w:t>
      </w:r>
      <w:r w:rsidRPr="00B22946">
        <w:rPr>
          <w:rFonts w:cs="Times New Roman"/>
          <w:szCs w:val="24"/>
        </w:rPr>
        <w:t>. 2</w:t>
      </w:r>
      <w:r w:rsidR="00750034" w:rsidRPr="00B22946">
        <w:rPr>
          <w:rFonts w:cs="Times New Roman"/>
          <w:szCs w:val="24"/>
        </w:rPr>
        <w:t>004).</w:t>
      </w:r>
      <w:r w:rsidR="00E87B12" w:rsidRPr="00B22946">
        <w:rPr>
          <w:rFonts w:cs="Times New Roman"/>
          <w:szCs w:val="24"/>
        </w:rPr>
        <w:t xml:space="preserve">The training may involve </w:t>
      </w:r>
      <w:r w:rsidR="003343DC" w:rsidRPr="00B22946">
        <w:rPr>
          <w:rFonts w:cs="Times New Roman"/>
          <w:szCs w:val="24"/>
        </w:rPr>
        <w:t>clinical pharmacology and the skills to obtain accurate medication history and this would be critical to decreasing</w:t>
      </w:r>
      <w:r w:rsidRPr="00B22946">
        <w:rPr>
          <w:rFonts w:cs="Times New Roman"/>
          <w:szCs w:val="24"/>
        </w:rPr>
        <w:t xml:space="preserve"> medication errors</w:t>
      </w:r>
      <w:r w:rsidR="00965FDB" w:rsidRPr="00B22946">
        <w:rPr>
          <w:rFonts w:cs="Times New Roman"/>
          <w:szCs w:val="24"/>
        </w:rPr>
        <w:t xml:space="preserve"> and enhancing their ability to recognize incomplete history (</w:t>
      </w:r>
      <w:r w:rsidR="00B97516" w:rsidRPr="00B22946">
        <w:rPr>
          <w:rFonts w:cs="Times New Roman"/>
          <w:szCs w:val="24"/>
        </w:rPr>
        <w:t>Tam et al</w:t>
      </w:r>
      <w:r w:rsidR="004E06F7" w:rsidRPr="00B22946">
        <w:rPr>
          <w:rFonts w:cs="Times New Roman"/>
          <w:szCs w:val="24"/>
        </w:rPr>
        <w:t xml:space="preserve">. 2005, </w:t>
      </w:r>
      <w:r w:rsidR="00B97516" w:rsidRPr="00B22946">
        <w:rPr>
          <w:rFonts w:cs="Times New Roman"/>
          <w:szCs w:val="24"/>
        </w:rPr>
        <w:t xml:space="preserve">Agrawal </w:t>
      </w:r>
      <w:r w:rsidRPr="00B22946">
        <w:rPr>
          <w:rFonts w:cs="Times New Roman"/>
          <w:szCs w:val="24"/>
        </w:rPr>
        <w:t>et al. 2009)</w:t>
      </w:r>
      <w:r w:rsidR="00EC112D" w:rsidRPr="00B22946">
        <w:rPr>
          <w:rFonts w:cs="Times New Roman"/>
          <w:szCs w:val="24"/>
        </w:rPr>
        <w:t>.</w:t>
      </w:r>
      <w:r w:rsidR="00500742" w:rsidRPr="00B22946">
        <w:rPr>
          <w:rFonts w:cs="Times New Roman"/>
          <w:szCs w:val="24"/>
        </w:rPr>
        <w:t xml:space="preserve"> The patient should be educated </w:t>
      </w:r>
      <w:r w:rsidRPr="00B22946">
        <w:rPr>
          <w:rFonts w:cs="Times New Roman"/>
          <w:szCs w:val="24"/>
        </w:rPr>
        <w:t>about the b</w:t>
      </w:r>
      <w:r w:rsidR="00500742" w:rsidRPr="00B22946">
        <w:rPr>
          <w:rFonts w:cs="Times New Roman"/>
          <w:szCs w:val="24"/>
        </w:rPr>
        <w:t>enefits of saving medication lists and b</w:t>
      </w:r>
      <w:r w:rsidRPr="00B22946">
        <w:rPr>
          <w:rFonts w:cs="Times New Roman"/>
          <w:szCs w:val="24"/>
        </w:rPr>
        <w:t xml:space="preserve">e part of medication reconciliation because </w:t>
      </w:r>
      <w:r w:rsidR="004A4182" w:rsidRPr="00B22946">
        <w:rPr>
          <w:rFonts w:cs="Times New Roman"/>
          <w:szCs w:val="24"/>
        </w:rPr>
        <w:t xml:space="preserve">they are </w:t>
      </w:r>
      <w:r w:rsidRPr="00B22946">
        <w:rPr>
          <w:rFonts w:cs="Times New Roman"/>
          <w:szCs w:val="24"/>
        </w:rPr>
        <w:t xml:space="preserve">the most reliable source for </w:t>
      </w:r>
      <w:r w:rsidR="004A4182" w:rsidRPr="00B22946">
        <w:rPr>
          <w:rFonts w:cs="Times New Roman"/>
          <w:szCs w:val="24"/>
        </w:rPr>
        <w:t>medication information.</w:t>
      </w:r>
      <w:r w:rsidR="00AC1937" w:rsidRPr="00B22946">
        <w:rPr>
          <w:rFonts w:cs="Times New Roman"/>
          <w:szCs w:val="24"/>
        </w:rPr>
        <w:t xml:space="preserve"> The education will allow the patient to understand the </w:t>
      </w:r>
      <w:r w:rsidRPr="00B22946">
        <w:rPr>
          <w:rFonts w:cs="Times New Roman"/>
          <w:szCs w:val="24"/>
        </w:rPr>
        <w:t>importance of maintaining updated</w:t>
      </w:r>
      <w:r w:rsidR="009B3F74">
        <w:rPr>
          <w:rFonts w:cs="Times New Roman"/>
          <w:szCs w:val="24"/>
        </w:rPr>
        <w:t xml:space="preserve"> </w:t>
      </w:r>
      <w:r w:rsidRPr="00B22946">
        <w:rPr>
          <w:rFonts w:cs="Times New Roman"/>
          <w:szCs w:val="24"/>
        </w:rPr>
        <w:t>medication list including prescri</w:t>
      </w:r>
      <w:r w:rsidR="00746236">
        <w:rPr>
          <w:rFonts w:cs="Times New Roman"/>
          <w:szCs w:val="24"/>
        </w:rPr>
        <w:t>ption and nonprescription drugs</w:t>
      </w:r>
      <w:r w:rsidR="00AC1937" w:rsidRPr="00B22946">
        <w:rPr>
          <w:rFonts w:cs="Times New Roman"/>
          <w:szCs w:val="24"/>
        </w:rPr>
        <w:t xml:space="preserve"> </w:t>
      </w:r>
      <w:r w:rsidR="00F8200E" w:rsidRPr="00B22946">
        <w:rPr>
          <w:rFonts w:cs="Times New Roman"/>
          <w:szCs w:val="24"/>
        </w:rPr>
        <w:t>(</w:t>
      </w:r>
      <w:r w:rsidRPr="00B22946">
        <w:rPr>
          <w:rFonts w:cs="Times New Roman"/>
          <w:szCs w:val="24"/>
        </w:rPr>
        <w:t>WHO 2007)</w:t>
      </w:r>
      <w:r w:rsidR="00F8200E" w:rsidRPr="00B22946">
        <w:rPr>
          <w:rFonts w:cs="Times New Roman"/>
          <w:szCs w:val="24"/>
        </w:rPr>
        <w:t>.</w:t>
      </w:r>
    </w:p>
    <w:p w:rsidR="00DE1F3E" w:rsidRPr="00B22946" w:rsidRDefault="0088543C" w:rsidP="00B22946">
      <w:pPr>
        <w:spacing w:line="480" w:lineRule="auto"/>
        <w:rPr>
          <w:rFonts w:cs="Times New Roman"/>
          <w:szCs w:val="24"/>
        </w:rPr>
      </w:pPr>
      <w:r w:rsidRPr="00B22946">
        <w:rPr>
          <w:rFonts w:cs="Times New Roman"/>
          <w:szCs w:val="24"/>
        </w:rPr>
        <w:t>It is also imperative to e</w:t>
      </w:r>
      <w:r w:rsidR="00DE1F3E" w:rsidRPr="00B22946">
        <w:rPr>
          <w:rFonts w:cs="Times New Roman"/>
          <w:szCs w:val="24"/>
        </w:rPr>
        <w:t>ncourage the patient and caregiver to utilize one pharmacy to provide him with</w:t>
      </w:r>
      <w:r w:rsidRPr="00B22946">
        <w:rPr>
          <w:rFonts w:cs="Times New Roman"/>
          <w:szCs w:val="24"/>
        </w:rPr>
        <w:t xml:space="preserve"> their</w:t>
      </w:r>
      <w:r w:rsidR="00DE1F3E" w:rsidRPr="00B22946">
        <w:rPr>
          <w:rFonts w:cs="Times New Roman"/>
          <w:szCs w:val="24"/>
        </w:rPr>
        <w:t xml:space="preserve"> medication and medical information about his medicine</w:t>
      </w:r>
      <w:r w:rsidR="00EE44BA" w:rsidRPr="00B22946">
        <w:rPr>
          <w:rFonts w:cs="Times New Roman"/>
          <w:szCs w:val="24"/>
        </w:rPr>
        <w:t xml:space="preserve">. This will </w:t>
      </w:r>
      <w:r w:rsidR="00DE1F3E" w:rsidRPr="00B22946">
        <w:rPr>
          <w:rFonts w:cs="Times New Roman"/>
          <w:szCs w:val="24"/>
        </w:rPr>
        <w:t>make</w:t>
      </w:r>
      <w:r w:rsidR="00EE44BA" w:rsidRPr="00B22946">
        <w:rPr>
          <w:rFonts w:cs="Times New Roman"/>
          <w:szCs w:val="24"/>
        </w:rPr>
        <w:t xml:space="preserve"> it</w:t>
      </w:r>
      <w:r w:rsidR="00DE1F3E" w:rsidRPr="00B22946">
        <w:rPr>
          <w:rFonts w:cs="Times New Roman"/>
          <w:szCs w:val="24"/>
        </w:rPr>
        <w:t xml:space="preserve"> easy to</w:t>
      </w:r>
      <w:r w:rsidR="00EE44BA" w:rsidRPr="00B22946">
        <w:rPr>
          <w:rFonts w:cs="Times New Roman"/>
          <w:szCs w:val="24"/>
        </w:rPr>
        <w:t xml:space="preserve"> review their medication (</w:t>
      </w:r>
      <w:r w:rsidR="00DE1F3E" w:rsidRPr="00B22946">
        <w:rPr>
          <w:rFonts w:cs="Times New Roman"/>
          <w:szCs w:val="24"/>
        </w:rPr>
        <w:t>WHO</w:t>
      </w:r>
      <w:r w:rsidR="00EE44BA" w:rsidRPr="00B22946">
        <w:rPr>
          <w:rFonts w:cs="Times New Roman"/>
          <w:szCs w:val="24"/>
        </w:rPr>
        <w:t xml:space="preserve"> 2007).</w:t>
      </w:r>
      <w:r w:rsidR="00DE1F3E" w:rsidRPr="00B22946">
        <w:rPr>
          <w:rFonts w:cs="Times New Roman"/>
          <w:szCs w:val="24"/>
        </w:rPr>
        <w:t xml:space="preserve">Ensure that healthcare organizations set standardized systems to collect and record overall medication information for each patient in the patient medication list and store it in </w:t>
      </w:r>
      <w:r w:rsidR="00220EF8" w:rsidRPr="00B22946">
        <w:rPr>
          <w:rFonts w:cs="Times New Roman"/>
          <w:szCs w:val="24"/>
        </w:rPr>
        <w:t>specified place</w:t>
      </w:r>
      <w:r w:rsidR="00DE1F3E" w:rsidRPr="00B22946">
        <w:rPr>
          <w:rFonts w:cs="Times New Roman"/>
          <w:szCs w:val="24"/>
        </w:rPr>
        <w:t xml:space="preserve"> in</w:t>
      </w:r>
      <w:r w:rsidR="00220EF8" w:rsidRPr="00B22946">
        <w:rPr>
          <w:rFonts w:cs="Times New Roman"/>
          <w:szCs w:val="24"/>
        </w:rPr>
        <w:t xml:space="preserve"> the </w:t>
      </w:r>
      <w:r w:rsidR="00DE1F3E" w:rsidRPr="00B22946">
        <w:rPr>
          <w:rFonts w:cs="Times New Roman"/>
          <w:szCs w:val="24"/>
        </w:rPr>
        <w:t xml:space="preserve">patient medication record that </w:t>
      </w:r>
      <w:r w:rsidR="00220EF8" w:rsidRPr="00B22946">
        <w:rPr>
          <w:rFonts w:cs="Times New Roman"/>
          <w:szCs w:val="24"/>
        </w:rPr>
        <w:t xml:space="preserve">will </w:t>
      </w:r>
      <w:r w:rsidR="00DE1F3E" w:rsidRPr="00B22946">
        <w:rPr>
          <w:rFonts w:cs="Times New Roman"/>
          <w:szCs w:val="24"/>
        </w:rPr>
        <w:t xml:space="preserve">be easy to </w:t>
      </w:r>
      <w:r w:rsidR="00220EF8" w:rsidRPr="00B22946">
        <w:rPr>
          <w:rFonts w:cs="Times New Roman"/>
          <w:szCs w:val="24"/>
        </w:rPr>
        <w:t xml:space="preserve">access by the health care </w:t>
      </w:r>
      <w:r w:rsidR="00DE1F3E" w:rsidRPr="00B22946">
        <w:rPr>
          <w:rFonts w:cs="Times New Roman"/>
          <w:szCs w:val="24"/>
        </w:rPr>
        <w:t>provider at each care transition point.</w:t>
      </w:r>
      <w:r w:rsidR="008D14A5" w:rsidRPr="00B22946">
        <w:rPr>
          <w:rFonts w:cs="Times New Roman"/>
          <w:szCs w:val="24"/>
        </w:rPr>
        <w:t xml:space="preserve"> The list in the information storage systems should include</w:t>
      </w:r>
      <w:r w:rsidR="00DE1F3E" w:rsidRPr="00B22946">
        <w:rPr>
          <w:rFonts w:cs="Times New Roman"/>
          <w:szCs w:val="24"/>
        </w:rPr>
        <w:t xml:space="preserve"> prescription an</w:t>
      </w:r>
      <w:r w:rsidR="008D14A5" w:rsidRPr="00B22946">
        <w:rPr>
          <w:rFonts w:cs="Times New Roman"/>
          <w:szCs w:val="24"/>
        </w:rPr>
        <w:t>d nonprescription medication, C</w:t>
      </w:r>
      <w:r w:rsidR="00DE1F3E" w:rsidRPr="00B22946">
        <w:rPr>
          <w:rFonts w:cs="Times New Roman"/>
          <w:szCs w:val="24"/>
        </w:rPr>
        <w:t>AM</w:t>
      </w:r>
      <w:r w:rsidR="008D14A5" w:rsidRPr="00B22946">
        <w:rPr>
          <w:rFonts w:cs="Times New Roman"/>
          <w:szCs w:val="24"/>
        </w:rPr>
        <w:t>s, O</w:t>
      </w:r>
      <w:r w:rsidR="00DE1F3E" w:rsidRPr="00B22946">
        <w:rPr>
          <w:rFonts w:cs="Times New Roman"/>
          <w:szCs w:val="24"/>
        </w:rPr>
        <w:t>TC</w:t>
      </w:r>
      <w:r w:rsidR="008D14A5" w:rsidRPr="00B22946">
        <w:rPr>
          <w:rFonts w:cs="Times New Roman"/>
          <w:szCs w:val="24"/>
        </w:rPr>
        <w:t xml:space="preserve"> drugs</w:t>
      </w:r>
      <w:r w:rsidR="00DE1F3E" w:rsidRPr="00B22946">
        <w:rPr>
          <w:rFonts w:cs="Times New Roman"/>
          <w:szCs w:val="24"/>
        </w:rPr>
        <w:t>, immunization history, any available information about allergy, A.D.R.s and if possible, patient own medication list, level of patient adherence, and contact</w:t>
      </w:r>
      <w:r w:rsidR="008D14A5" w:rsidRPr="00B22946">
        <w:rPr>
          <w:rFonts w:cs="Times New Roman"/>
          <w:szCs w:val="24"/>
        </w:rPr>
        <w:t xml:space="preserve">ing information or number of </w:t>
      </w:r>
      <w:r w:rsidR="00DE1F3E" w:rsidRPr="00B22946">
        <w:rPr>
          <w:rFonts w:cs="Times New Roman"/>
          <w:szCs w:val="24"/>
        </w:rPr>
        <w:t xml:space="preserve"> community pharmac</w:t>
      </w:r>
      <w:r w:rsidR="008D14A5" w:rsidRPr="00B22946">
        <w:rPr>
          <w:rFonts w:cs="Times New Roman"/>
          <w:szCs w:val="24"/>
        </w:rPr>
        <w:t>ies</w:t>
      </w:r>
      <w:r w:rsidR="00DE1F3E" w:rsidRPr="00B22946">
        <w:rPr>
          <w:rFonts w:cs="Times New Roman"/>
          <w:szCs w:val="24"/>
        </w:rPr>
        <w:t xml:space="preserve"> (WHO </w:t>
      </w:r>
      <w:r w:rsidR="008D14A5" w:rsidRPr="00B22946">
        <w:rPr>
          <w:rFonts w:cs="Times New Roman"/>
          <w:szCs w:val="24"/>
        </w:rPr>
        <w:t xml:space="preserve"> 2007)</w:t>
      </w:r>
      <w:r w:rsidR="00DE1F3E" w:rsidRPr="00B22946">
        <w:rPr>
          <w:rFonts w:cs="Times New Roman"/>
          <w:szCs w:val="24"/>
        </w:rPr>
        <w:t>.</w:t>
      </w:r>
    </w:p>
    <w:p w:rsidR="00DE1F3E" w:rsidRPr="00B22946" w:rsidRDefault="000100E9" w:rsidP="00B22946">
      <w:pPr>
        <w:spacing w:line="480" w:lineRule="auto"/>
        <w:rPr>
          <w:rFonts w:cs="Times New Roman"/>
          <w:szCs w:val="24"/>
        </w:rPr>
      </w:pPr>
      <w:r w:rsidRPr="00B22946">
        <w:rPr>
          <w:rFonts w:cs="Times New Roman"/>
          <w:szCs w:val="24"/>
        </w:rPr>
        <w:t>H</w:t>
      </w:r>
      <w:r w:rsidR="00DE1F3E" w:rsidRPr="00B22946">
        <w:rPr>
          <w:rFonts w:cs="Times New Roman"/>
          <w:szCs w:val="24"/>
        </w:rPr>
        <w:t>ealthcare organizations</w:t>
      </w:r>
      <w:r w:rsidRPr="00B22946">
        <w:rPr>
          <w:rFonts w:cs="Times New Roman"/>
          <w:szCs w:val="24"/>
        </w:rPr>
        <w:t xml:space="preserve"> ought to</w:t>
      </w:r>
      <w:r w:rsidR="00DE1F3E" w:rsidRPr="00B22946">
        <w:rPr>
          <w:rFonts w:cs="Times New Roman"/>
          <w:szCs w:val="24"/>
        </w:rPr>
        <w:t xml:space="preserve"> have clear p</w:t>
      </w:r>
      <w:r w:rsidR="00913071">
        <w:rPr>
          <w:rFonts w:cs="Times New Roman"/>
          <w:szCs w:val="24"/>
        </w:rPr>
        <w:t>olicies and procedures to apply</w:t>
      </w:r>
      <w:r w:rsidR="00DE1F3E" w:rsidRPr="00B22946">
        <w:rPr>
          <w:rFonts w:cs="Times New Roman"/>
          <w:szCs w:val="24"/>
        </w:rPr>
        <w:t xml:space="preserve"> medication reconciliation at each care transition point.</w:t>
      </w:r>
      <w:r w:rsidR="001317D9">
        <w:rPr>
          <w:rFonts w:cs="Times New Roman"/>
          <w:szCs w:val="24"/>
        </w:rPr>
        <w:t xml:space="preserve"> </w:t>
      </w:r>
      <w:r w:rsidR="00DE1F3E" w:rsidRPr="00B22946">
        <w:rPr>
          <w:rFonts w:cs="Times New Roman"/>
          <w:szCs w:val="24"/>
        </w:rPr>
        <w:t>In South Carolina, health care organizations are suggesting a global form for the patient to maintain their medication list and a</w:t>
      </w:r>
      <w:r w:rsidR="00913071">
        <w:rPr>
          <w:rFonts w:cs="Times New Roman"/>
          <w:szCs w:val="24"/>
        </w:rPr>
        <w:t>llergy information. T</w:t>
      </w:r>
      <w:r w:rsidR="00321DAA" w:rsidRPr="00B22946">
        <w:rPr>
          <w:rFonts w:cs="Times New Roman"/>
          <w:szCs w:val="24"/>
        </w:rPr>
        <w:t xml:space="preserve">he </w:t>
      </w:r>
      <w:r w:rsidR="00DE1F3E" w:rsidRPr="00B22946">
        <w:rPr>
          <w:rFonts w:cs="Times New Roman"/>
          <w:szCs w:val="24"/>
        </w:rPr>
        <w:t>Massachusetts</w:t>
      </w:r>
      <w:r w:rsidR="001317D9">
        <w:rPr>
          <w:rFonts w:cs="Times New Roman"/>
          <w:szCs w:val="24"/>
        </w:rPr>
        <w:t xml:space="preserve"> </w:t>
      </w:r>
      <w:r w:rsidR="00DE1F3E" w:rsidRPr="00B22946">
        <w:rPr>
          <w:rFonts w:cs="Times New Roman"/>
          <w:szCs w:val="24"/>
        </w:rPr>
        <w:t>Coalition for the Prevention of Medical Errors</w:t>
      </w:r>
      <w:r w:rsidR="00C25BD6" w:rsidRPr="00B22946">
        <w:rPr>
          <w:rFonts w:cs="Times New Roman"/>
          <w:szCs w:val="24"/>
        </w:rPr>
        <w:t xml:space="preserve"> (</w:t>
      </w:r>
      <w:r w:rsidR="00321DAA" w:rsidRPr="00B22946">
        <w:rPr>
          <w:rFonts w:cs="Times New Roman"/>
          <w:szCs w:val="24"/>
        </w:rPr>
        <w:t>M</w:t>
      </w:r>
      <w:r w:rsidR="00C25BD6" w:rsidRPr="00B22946">
        <w:rPr>
          <w:rFonts w:cs="Times New Roman"/>
          <w:szCs w:val="24"/>
        </w:rPr>
        <w:t>CPME)</w:t>
      </w:r>
      <w:r w:rsidR="00DE1F3E" w:rsidRPr="00B22946">
        <w:rPr>
          <w:rFonts w:cs="Times New Roman"/>
          <w:szCs w:val="24"/>
        </w:rPr>
        <w:t xml:space="preserve"> has advanced medication reconciliatio</w:t>
      </w:r>
      <w:r w:rsidR="0079252E" w:rsidRPr="00B22946">
        <w:rPr>
          <w:rFonts w:cs="Times New Roman"/>
          <w:szCs w:val="24"/>
        </w:rPr>
        <w:t xml:space="preserve">n to be </w:t>
      </w:r>
      <w:r w:rsidR="00DE1F3E" w:rsidRPr="00B22946">
        <w:rPr>
          <w:rFonts w:cs="Times New Roman"/>
          <w:szCs w:val="24"/>
        </w:rPr>
        <w:t>the best application to prevent medication errors in hospitals (</w:t>
      </w:r>
      <w:r w:rsidR="00216522" w:rsidRPr="00B22946">
        <w:rPr>
          <w:rFonts w:cs="Times New Roman"/>
          <w:szCs w:val="24"/>
        </w:rPr>
        <w:t xml:space="preserve">Gleason </w:t>
      </w:r>
      <w:r w:rsidR="00DE1F3E" w:rsidRPr="00B22946">
        <w:rPr>
          <w:rFonts w:cs="Times New Roman"/>
          <w:szCs w:val="24"/>
        </w:rPr>
        <w:t>et al. 2004)</w:t>
      </w:r>
      <w:r w:rsidR="00D60CD9" w:rsidRPr="00B22946">
        <w:rPr>
          <w:rFonts w:cs="Times New Roman"/>
          <w:szCs w:val="24"/>
        </w:rPr>
        <w:t>.</w:t>
      </w:r>
    </w:p>
    <w:p w:rsidR="003C4034" w:rsidRPr="00B22946" w:rsidRDefault="002955BD" w:rsidP="00B22946">
      <w:pPr>
        <w:pStyle w:val="Heading1"/>
        <w:spacing w:line="480" w:lineRule="auto"/>
        <w:rPr>
          <w:rFonts w:ascii="Times New Roman" w:hAnsi="Times New Roman" w:cs="Times New Roman"/>
          <w:color w:val="auto"/>
          <w:sz w:val="24"/>
          <w:szCs w:val="24"/>
        </w:rPr>
      </w:pPr>
      <w:bookmarkStart w:id="9" w:name="_Toc15143765"/>
      <w:r w:rsidRPr="00B22946">
        <w:rPr>
          <w:rFonts w:ascii="Times New Roman" w:hAnsi="Times New Roman" w:cs="Times New Roman"/>
          <w:color w:val="auto"/>
          <w:sz w:val="24"/>
          <w:szCs w:val="24"/>
        </w:rPr>
        <w:t>The o</w:t>
      </w:r>
      <w:r w:rsidR="00EB341D" w:rsidRPr="00B22946">
        <w:rPr>
          <w:rFonts w:ascii="Times New Roman" w:hAnsi="Times New Roman" w:cs="Times New Roman"/>
          <w:color w:val="auto"/>
          <w:sz w:val="24"/>
          <w:szCs w:val="24"/>
        </w:rPr>
        <w:t>bjective</w:t>
      </w:r>
      <w:r w:rsidR="009D2795" w:rsidRPr="00B22946">
        <w:rPr>
          <w:rFonts w:ascii="Times New Roman" w:hAnsi="Times New Roman" w:cs="Times New Roman"/>
          <w:color w:val="auto"/>
          <w:sz w:val="24"/>
          <w:szCs w:val="24"/>
        </w:rPr>
        <w:t xml:space="preserve"> of the Study</w:t>
      </w:r>
      <w:bookmarkEnd w:id="9"/>
    </w:p>
    <w:p w:rsidR="00CC5774" w:rsidRPr="00B22946" w:rsidRDefault="00CC5774" w:rsidP="00B22946">
      <w:pPr>
        <w:spacing w:line="480" w:lineRule="auto"/>
        <w:ind w:left="360"/>
        <w:rPr>
          <w:rFonts w:cs="Times New Roman"/>
          <w:szCs w:val="24"/>
        </w:rPr>
      </w:pPr>
      <w:r w:rsidRPr="00B22946">
        <w:rPr>
          <w:rFonts w:cs="Times New Roman"/>
          <w:szCs w:val="24"/>
        </w:rPr>
        <w:t xml:space="preserve">To determine the percentage of medication history errors taken by GP or emergency doctor at </w:t>
      </w:r>
      <w:r w:rsidR="002D2C9A" w:rsidRPr="00B22946">
        <w:rPr>
          <w:rFonts w:cs="Times New Roman"/>
          <w:szCs w:val="24"/>
        </w:rPr>
        <w:t>admission</w:t>
      </w:r>
    </w:p>
    <w:p w:rsidR="008C5BF0" w:rsidRPr="00B22946" w:rsidRDefault="008C5BF0" w:rsidP="00B22946">
      <w:pPr>
        <w:pStyle w:val="Heading1"/>
        <w:spacing w:line="480" w:lineRule="auto"/>
        <w:rPr>
          <w:rFonts w:ascii="Times New Roman" w:hAnsi="Times New Roman" w:cs="Times New Roman"/>
          <w:color w:val="auto"/>
          <w:sz w:val="24"/>
          <w:szCs w:val="24"/>
        </w:rPr>
      </w:pPr>
      <w:bookmarkStart w:id="10" w:name="_Toc15143766"/>
      <w:r w:rsidRPr="00B22946">
        <w:rPr>
          <w:rFonts w:ascii="Times New Roman" w:hAnsi="Times New Roman" w:cs="Times New Roman"/>
          <w:color w:val="auto"/>
          <w:sz w:val="24"/>
          <w:szCs w:val="24"/>
        </w:rPr>
        <w:t>Aim of the study</w:t>
      </w:r>
      <w:bookmarkEnd w:id="10"/>
    </w:p>
    <w:p w:rsidR="008C5BF0" w:rsidRDefault="008C5BF0" w:rsidP="00B22946">
      <w:pPr>
        <w:spacing w:line="480" w:lineRule="auto"/>
        <w:rPr>
          <w:rFonts w:cs="Times New Roman"/>
          <w:szCs w:val="24"/>
        </w:rPr>
      </w:pPr>
      <w:r w:rsidRPr="00B22946">
        <w:rPr>
          <w:rFonts w:cs="Times New Roman"/>
          <w:szCs w:val="24"/>
        </w:rPr>
        <w:t>This study was done to assess the accuracy of patient medication history reporting at admission to the surgical unit in Hamad General Hospital by comparing the patient medication history taken at admission</w:t>
      </w:r>
      <w:r w:rsidR="00B36FF1">
        <w:rPr>
          <w:rFonts w:cs="Times New Roman"/>
          <w:szCs w:val="24"/>
        </w:rPr>
        <w:t xml:space="preserve"> with the list </w:t>
      </w:r>
      <w:r w:rsidRPr="00B22946">
        <w:rPr>
          <w:rFonts w:cs="Times New Roman"/>
          <w:szCs w:val="24"/>
        </w:rPr>
        <w:t>taken by a clinical pharmacist within 24</w:t>
      </w:r>
      <w:r w:rsidR="00B36FF1">
        <w:rPr>
          <w:rFonts w:cs="Times New Roman"/>
          <w:szCs w:val="24"/>
        </w:rPr>
        <w:t>-48</w:t>
      </w:r>
      <w:r w:rsidR="00C956D4">
        <w:rPr>
          <w:rFonts w:cs="Times New Roman"/>
          <w:szCs w:val="24"/>
        </w:rPr>
        <w:t xml:space="preserve"> hours after</w:t>
      </w:r>
      <w:r w:rsidRPr="00B22946">
        <w:rPr>
          <w:rFonts w:cs="Times New Roman"/>
          <w:szCs w:val="24"/>
        </w:rPr>
        <w:t xml:space="preserve"> admission. </w:t>
      </w:r>
    </w:p>
    <w:p w:rsidR="005B34F5" w:rsidRDefault="005B34F5">
      <w:pPr>
        <w:rPr>
          <w:rFonts w:eastAsiaTheme="majorEastAsia" w:cs="Times New Roman"/>
          <w:b/>
          <w:bCs/>
          <w:color w:val="000000" w:themeColor="text1"/>
          <w:szCs w:val="24"/>
        </w:rPr>
      </w:pPr>
      <w:bookmarkStart w:id="11" w:name="_Toc15143767"/>
      <w:r>
        <w:rPr>
          <w:rFonts w:cs="Times New Roman"/>
          <w:color w:val="000000" w:themeColor="text1"/>
          <w:szCs w:val="24"/>
        </w:rPr>
        <w:br w:type="page"/>
      </w:r>
    </w:p>
    <w:p w:rsidR="00BB2269" w:rsidRPr="00BF05B4" w:rsidRDefault="00BB2269" w:rsidP="00BF05B4">
      <w:pPr>
        <w:pStyle w:val="Heading1"/>
        <w:spacing w:line="480" w:lineRule="auto"/>
        <w:jc w:val="center"/>
        <w:rPr>
          <w:rFonts w:ascii="Times New Roman" w:hAnsi="Times New Roman" w:cs="Times New Roman"/>
          <w:color w:val="000000" w:themeColor="text1"/>
          <w:sz w:val="24"/>
          <w:szCs w:val="24"/>
        </w:rPr>
      </w:pPr>
      <w:r w:rsidRPr="00BF05B4">
        <w:rPr>
          <w:rFonts w:ascii="Times New Roman" w:hAnsi="Times New Roman" w:cs="Times New Roman"/>
          <w:color w:val="000000" w:themeColor="text1"/>
          <w:sz w:val="24"/>
          <w:szCs w:val="24"/>
        </w:rPr>
        <w:t>Research Methods</w:t>
      </w:r>
      <w:bookmarkEnd w:id="11"/>
    </w:p>
    <w:p w:rsidR="00BB2269" w:rsidRPr="009B0E5F" w:rsidRDefault="00BB2269" w:rsidP="00BF05B4">
      <w:pPr>
        <w:pStyle w:val="Heading2"/>
        <w:spacing w:line="480" w:lineRule="auto"/>
        <w:rPr>
          <w:rFonts w:ascii="Times New Roman" w:hAnsi="Times New Roman" w:cs="Times New Roman"/>
          <w:color w:val="auto"/>
          <w:sz w:val="24"/>
          <w:szCs w:val="24"/>
        </w:rPr>
      </w:pPr>
      <w:bookmarkStart w:id="12" w:name="_Toc15143768"/>
      <w:r w:rsidRPr="009B0E5F">
        <w:rPr>
          <w:rFonts w:ascii="Times New Roman" w:hAnsi="Times New Roman" w:cs="Times New Roman"/>
          <w:color w:val="auto"/>
          <w:sz w:val="24"/>
          <w:szCs w:val="24"/>
        </w:rPr>
        <w:t>Research Design and Approach</w:t>
      </w:r>
      <w:bookmarkEnd w:id="12"/>
    </w:p>
    <w:p w:rsidR="00161334" w:rsidRPr="009B0E5F" w:rsidRDefault="00161334" w:rsidP="00D631B9">
      <w:pPr>
        <w:spacing w:line="480" w:lineRule="auto"/>
      </w:pPr>
      <w:r w:rsidRPr="009B0E5F">
        <w:t>A cross-sectional design was implemented in the study as the variables of interests differed in characteristics but demonstrated the effect of errors in medication histories.</w:t>
      </w:r>
      <w:r w:rsidR="00D631B9" w:rsidRPr="009B0E5F">
        <w:t xml:space="preserve"> The variables of interests were the medication discrepancies as outlined in the medication lists taken by the clinic pharmacist. These discrepancies comprised of both the justified and the unjustified with the various aspects including commissions, omissions, different dose and frequency, allergies, incorrect prescriptions, and inconsistencies in classes of medications, among other aspects considered as discrepancies.</w:t>
      </w:r>
    </w:p>
    <w:p w:rsidR="001D359E" w:rsidRPr="009B0E5F" w:rsidRDefault="001D359E" w:rsidP="00D631B9">
      <w:pPr>
        <w:spacing w:line="480" w:lineRule="auto"/>
      </w:pPr>
      <w:r w:rsidRPr="009B0E5F">
        <w:t>The study adopted a quantitative approach to facilitate objectivity in analyzing the medication history discrepancies that are intended and those that are unintended and the ones likely to cause harm to the patients. The research approach highlights the procedure to be followed in collecting, analyzing, and interpreting data to arrive at conclusive results.</w:t>
      </w:r>
      <w:r w:rsidR="008F6D23" w:rsidRPr="009B0E5F">
        <w:t xml:space="preserve"> In the study of the prevalence of medication errors, it was imperative that the approach be well-framed with reliable techniques of data collection; in this case the collection technique was use of closed ended questions to the patients alongside coded medication lists.</w:t>
      </w:r>
    </w:p>
    <w:p w:rsidR="00BB2269" w:rsidRPr="009B0E5F" w:rsidRDefault="00BB2269" w:rsidP="00BF05B4">
      <w:pPr>
        <w:pStyle w:val="Heading2"/>
        <w:spacing w:line="480" w:lineRule="auto"/>
        <w:rPr>
          <w:rFonts w:ascii="Times New Roman" w:hAnsi="Times New Roman" w:cs="Times New Roman"/>
          <w:color w:val="auto"/>
          <w:sz w:val="24"/>
          <w:szCs w:val="24"/>
        </w:rPr>
      </w:pPr>
      <w:bookmarkStart w:id="13" w:name="_Toc15143769"/>
      <w:r w:rsidRPr="009B0E5F">
        <w:rPr>
          <w:rFonts w:ascii="Times New Roman" w:hAnsi="Times New Roman" w:cs="Times New Roman"/>
          <w:color w:val="auto"/>
          <w:sz w:val="24"/>
          <w:szCs w:val="24"/>
        </w:rPr>
        <w:t>Setting and Population of the Study</w:t>
      </w:r>
      <w:bookmarkEnd w:id="13"/>
    </w:p>
    <w:p w:rsidR="00330B24" w:rsidRDefault="00A76672" w:rsidP="00764650">
      <w:pPr>
        <w:spacing w:line="480" w:lineRule="auto"/>
      </w:pPr>
      <w:r w:rsidRPr="009B0E5F">
        <w:t>The study was done in Hamad General Hospital at the surgical department. A sample patients were picked based on their fitness to the characteristics and factors relevant to the study.</w:t>
      </w:r>
      <w:r w:rsidR="00764650" w:rsidRPr="009B0E5F">
        <w:t xml:space="preserve"> Medication history information was recorded by a clinical pharmacist at the time of admission and within 24 to 48 hours of hospital stay. All the patients who stayed in this unit qualified to be in the study</w:t>
      </w:r>
      <w:r w:rsidR="00F97123" w:rsidRPr="009B0E5F">
        <w:t xml:space="preserve"> except those who d</w:t>
      </w:r>
      <w:r w:rsidR="00D16EC2" w:rsidRPr="009B0E5F">
        <w:t>ied or were released from the hospital before 24 hours were over.</w:t>
      </w:r>
      <w:r w:rsidR="008A166F" w:rsidRPr="009B0E5F">
        <w:t xml:space="preserve"> The surgical department of this hospital has at least 250 beds and the research was aimed at including as many participants as possible.</w:t>
      </w:r>
      <w:r w:rsidR="008D7B80" w:rsidRPr="009B0E5F">
        <w:t xml:space="preserve"> The medical personnel in this department comprised of two senior physicians, two junior physicians, four nurses, one physiotherapist, </w:t>
      </w:r>
      <w:r w:rsidR="00E416FE" w:rsidRPr="009B0E5F">
        <w:t>and one</w:t>
      </w:r>
      <w:r w:rsidR="008D7B80" w:rsidRPr="009B0E5F">
        <w:t xml:space="preserve"> clinical pharmacist.</w:t>
      </w:r>
      <w:r w:rsidR="0089547B" w:rsidRPr="009B0E5F">
        <w:t xml:space="preserve"> The department had two </w:t>
      </w:r>
      <w:r w:rsidR="00DD2164" w:rsidRPr="009B0E5F">
        <w:t>wards and the occupancy rate in each of them determined where a patient would be admitted.</w:t>
      </w:r>
      <w:r w:rsidR="00DA06F5" w:rsidRPr="009B0E5F">
        <w:t xml:space="preserve"> </w:t>
      </w:r>
    </w:p>
    <w:p w:rsidR="00063FC7" w:rsidRPr="009B0E5F" w:rsidRDefault="00A83D0B" w:rsidP="00764650">
      <w:pPr>
        <w:spacing w:line="480" w:lineRule="auto"/>
      </w:pPr>
      <w:r w:rsidRPr="009B0E5F">
        <w:t>Selection of this unit of the hospital as the setting of the study was compelled by the high rate of admission with patients having various medical issues that needed surgical attention.</w:t>
      </w:r>
      <w:r w:rsidR="0012447E" w:rsidRPr="009B0E5F">
        <w:t xml:space="preserve"> This was bearing in mind that the study aimed to include as many participants to enhance its reliability and generalizability when making a conclusion.</w:t>
      </w:r>
      <w:r w:rsidR="00E67B05" w:rsidRPr="009B0E5F">
        <w:t xml:space="preserve"> This strategy was aimed at making the </w:t>
      </w:r>
      <w:r w:rsidR="007D54EE" w:rsidRPr="009B0E5F">
        <w:t>sample participants a valid representation of the population in the hospital.</w:t>
      </w:r>
      <w:r w:rsidR="00970F0E" w:rsidRPr="009B0E5F">
        <w:t xml:space="preserve"> The ethical committee of the hospital underlined a protocol to be followed in the study for the sake of the facility’s integrity. They ensured an informed consent form was filled by all participants of the study.</w:t>
      </w:r>
      <w:r w:rsidR="00412C47" w:rsidRPr="009B0E5F">
        <w:t xml:space="preserve"> The criterion for selecting the participants was admission to the surgical unit of the facility and a stay of not less than 24 hours while being given medical and therapeutic drugs.</w:t>
      </w:r>
      <w:r w:rsidR="00AE5B40" w:rsidRPr="009B0E5F">
        <w:t xml:space="preserve"> Patients who were transferred to other departments before the completion of 24 hours were disqualified from the study </w:t>
      </w:r>
      <w:r w:rsidR="00A8288A" w:rsidRPr="009B0E5F">
        <w:t>while those whose condition was dire and not in a position to participate in the medica</w:t>
      </w:r>
      <w:r w:rsidR="007A0BEA" w:rsidRPr="009B0E5F">
        <w:t>tion history interview were also omitted from the study.</w:t>
      </w:r>
    </w:p>
    <w:p w:rsidR="00BB2269" w:rsidRPr="009B0E5F" w:rsidRDefault="00BB2269" w:rsidP="00BF05B4">
      <w:pPr>
        <w:pStyle w:val="Heading2"/>
        <w:spacing w:line="480" w:lineRule="auto"/>
        <w:rPr>
          <w:rFonts w:ascii="Times New Roman" w:hAnsi="Times New Roman" w:cs="Times New Roman"/>
          <w:color w:val="auto"/>
          <w:sz w:val="24"/>
          <w:szCs w:val="24"/>
        </w:rPr>
      </w:pPr>
      <w:bookmarkStart w:id="14" w:name="_Toc15143770"/>
      <w:r w:rsidRPr="009B0E5F">
        <w:rPr>
          <w:rFonts w:ascii="Times New Roman" w:hAnsi="Times New Roman" w:cs="Times New Roman"/>
          <w:color w:val="auto"/>
          <w:sz w:val="24"/>
          <w:szCs w:val="24"/>
        </w:rPr>
        <w:t>Data Collection</w:t>
      </w:r>
      <w:bookmarkEnd w:id="14"/>
    </w:p>
    <w:p w:rsidR="002434BA" w:rsidRPr="009B0E5F" w:rsidRDefault="002434BA" w:rsidP="002434BA">
      <w:pPr>
        <w:spacing w:line="480" w:lineRule="auto"/>
      </w:pPr>
      <w:r w:rsidRPr="009B0E5F">
        <w:t>To detect medication discrepancies in the participants, a two-step method was adopted to facilitate data collection</w:t>
      </w:r>
      <w:r w:rsidR="000463F6" w:rsidRPr="009B0E5F">
        <w:t xml:space="preserve">. The first step involved a general practitioner collecting patient’s medication </w:t>
      </w:r>
      <w:r w:rsidR="000117BA" w:rsidRPr="009B0E5F">
        <w:t>list at</w:t>
      </w:r>
      <w:r w:rsidR="000463F6" w:rsidRPr="009B0E5F">
        <w:t xml:space="preserve"> the time of admission to the facility.</w:t>
      </w:r>
      <w:r w:rsidR="00553735" w:rsidRPr="009B0E5F">
        <w:t xml:space="preserve"> The practitioner administered a medication interview and filled the responses </w:t>
      </w:r>
      <w:r w:rsidR="005A4E0F" w:rsidRPr="009B0E5F">
        <w:t xml:space="preserve">in the questionnaire form </w:t>
      </w:r>
      <w:r w:rsidR="00553735" w:rsidRPr="009B0E5F">
        <w:t>as given by the patient and at the same time updated the information in the Electronic Health Record (EHR) system.</w:t>
      </w:r>
      <w:r w:rsidR="005A4E0F" w:rsidRPr="009B0E5F">
        <w:t xml:space="preserve"> The medication interview form served as the data source for the study while the EHR documented the data necessary for medical care of the patient.</w:t>
      </w:r>
      <w:r w:rsidR="000C5209" w:rsidRPr="009B0E5F">
        <w:t xml:space="preserve"> The next step involved a subsequent collection of the medication information by a clin</w:t>
      </w:r>
      <w:r w:rsidR="00F164AA" w:rsidRPr="009B0E5F">
        <w:t xml:space="preserve">ical </w:t>
      </w:r>
      <w:r w:rsidR="00527CB9" w:rsidRPr="009B0E5F">
        <w:t>pharmacist following</w:t>
      </w:r>
      <w:r w:rsidR="00F164AA" w:rsidRPr="009B0E5F">
        <w:t xml:space="preserve"> the completion of 24 hours of patient stay in the unit.</w:t>
      </w:r>
      <w:r w:rsidR="00E90189" w:rsidRPr="009B0E5F">
        <w:t xml:space="preserve"> The information recorded in the questionnaires included the patient’s demographics and discrepancies detected by the clinical pharmacist.</w:t>
      </w:r>
      <w:r w:rsidR="00373DA4" w:rsidRPr="009B0E5F">
        <w:t xml:space="preserve"> The demographic factors comprised of patient code, gender, nationality, age</w:t>
      </w:r>
      <w:r w:rsidR="009822D3" w:rsidRPr="009B0E5F">
        <w:t xml:space="preserve">, number of medications, </w:t>
      </w:r>
      <w:r w:rsidR="00373DA4" w:rsidRPr="009B0E5F">
        <w:t>admission</w:t>
      </w:r>
      <w:r w:rsidR="009822D3" w:rsidRPr="009B0E5F">
        <w:t xml:space="preserve"> time</w:t>
      </w:r>
      <w:r w:rsidR="00373DA4" w:rsidRPr="009B0E5F">
        <w:t>, diagnosis, and the treatment therapy.</w:t>
      </w:r>
      <w:r w:rsidR="00301783" w:rsidRPr="009B0E5F">
        <w:t xml:space="preserve"> The recorded discrepancies included inappropriate prescriptions, contraindication, frequency, dosage,</w:t>
      </w:r>
      <w:r w:rsidR="005333E7">
        <w:t xml:space="preserve"> </w:t>
      </w:r>
      <w:r w:rsidR="00301783" w:rsidRPr="009B0E5F">
        <w:t>commissions</w:t>
      </w:r>
      <w:r w:rsidR="006F3F3C" w:rsidRPr="009B0E5F">
        <w:t>, omissions, and route of administration</w:t>
      </w:r>
      <w:r w:rsidR="00301783" w:rsidRPr="009B0E5F">
        <w:t>.</w:t>
      </w:r>
      <w:r w:rsidR="005333E7">
        <w:t xml:space="preserve"> </w:t>
      </w:r>
      <w:r w:rsidR="00910FC0" w:rsidRPr="009B0E5F">
        <w:t xml:space="preserve">To identify the medications that the participant had been using prior to being admitted in the hospital, particular questions of health history and drug use were administered </w:t>
      </w:r>
      <w:r w:rsidR="00BD12D0" w:rsidRPr="009B0E5F">
        <w:t>to give the type of painkillers, sleeping pills, heart medications, stomach drugs, anti</w:t>
      </w:r>
      <w:r w:rsidR="005333E7">
        <w:t>-</w:t>
      </w:r>
      <w:r w:rsidR="00BD12D0" w:rsidRPr="009B0E5F">
        <w:t>diabetics, eye drops, inhalation drugs, and OTC drugs; these questions were aimed at increasing the probability that the patient will provide a complete medication list.</w:t>
      </w:r>
      <w:r w:rsidR="00932EF1" w:rsidRPr="009B0E5F">
        <w:t xml:space="preserve"> If the clinical pharmacist felt that the medication list given by the patient was not complete or accurate due to one reason or another, he would conduct a search in all the available records including the National Pharmacy Register</w:t>
      </w:r>
      <w:r w:rsidR="005836B2" w:rsidRPr="009B0E5F">
        <w:t>, the</w:t>
      </w:r>
      <w:r w:rsidR="00932EF1" w:rsidRPr="009B0E5F">
        <w:t xml:space="preserve"> medication dispensing system, as well as preadmission records from primary and community care.</w:t>
      </w:r>
    </w:p>
    <w:p w:rsidR="005F2BD9" w:rsidRPr="009B0E5F" w:rsidRDefault="005F2BD9" w:rsidP="002434BA">
      <w:pPr>
        <w:spacing w:line="480" w:lineRule="auto"/>
      </w:pPr>
      <w:r w:rsidRPr="009B0E5F">
        <w:t xml:space="preserve">For each medication that a participant used and was recorded in the medication list, its variables were included. The variables comprised of the dose, frequency, </w:t>
      </w:r>
      <w:r w:rsidR="00B92ACC" w:rsidRPr="009B0E5F">
        <w:t>side effects, generic name, active ingredients, and route of admi</w:t>
      </w:r>
      <w:r w:rsidR="00D97AEB" w:rsidRPr="009B0E5F">
        <w:t>ni</w:t>
      </w:r>
      <w:r w:rsidR="00B92ACC" w:rsidRPr="009B0E5F">
        <w:t>stration.</w:t>
      </w:r>
      <w:r w:rsidR="00D97AEB" w:rsidRPr="009B0E5F">
        <w:t xml:space="preserve"> The information was retrieved from </w:t>
      </w:r>
      <w:r w:rsidR="00DA3650" w:rsidRPr="009B0E5F">
        <w:t>the patient’s</w:t>
      </w:r>
      <w:r w:rsidR="00D97AEB" w:rsidRPr="009B0E5F">
        <w:t xml:space="preserve"> responses</w:t>
      </w:r>
      <w:r w:rsidR="00DA3650" w:rsidRPr="009B0E5F">
        <w:t xml:space="preserve"> in the medication interview</w:t>
      </w:r>
      <w:r w:rsidR="00D97AEB" w:rsidRPr="009B0E5F">
        <w:t>, medication bags, and self-prepared medication lists.</w:t>
      </w:r>
      <w:r w:rsidR="00AA5C8D" w:rsidRPr="009B0E5F">
        <w:t xml:space="preserve"> The EHR system also assisted for those patients who had visited the facility before and whose medication records had been updated in the system.</w:t>
      </w:r>
      <w:r w:rsidR="00AC1B1B" w:rsidRPr="009B0E5F">
        <w:t xml:space="preserve"> The clinical pharmacist verified the accuracy and completeness of the medication history information collected by the GP at the time of admission before them in the data for the study.</w:t>
      </w:r>
      <w:r w:rsidR="005E3B25" w:rsidRPr="009B0E5F">
        <w:t xml:space="preserve"> The medication lists collected by the clinical pharmacist as they know the appropriate information to include in the list and used records from all the available sources.</w:t>
      </w:r>
      <w:r w:rsidR="008F6C45" w:rsidRPr="009B0E5F">
        <w:t xml:space="preserve"> Improvement or devastation of patient’s health status was tra</w:t>
      </w:r>
      <w:r w:rsidR="005333E7">
        <w:t>cked and considered to influence the occurrence of</w:t>
      </w:r>
      <w:r w:rsidR="008F6C45" w:rsidRPr="009B0E5F">
        <w:t xml:space="preserve"> intended discrepancies</w:t>
      </w:r>
      <w:r w:rsidR="008569B8" w:rsidRPr="009B0E5F">
        <w:t xml:space="preserve"> such as drug substitution, formulation a desired therapeutic plan, or alteration of the admission medication list</w:t>
      </w:r>
      <w:r w:rsidR="005333E7">
        <w:t>.</w:t>
      </w:r>
    </w:p>
    <w:p w:rsidR="00BB2269" w:rsidRDefault="00A5213B" w:rsidP="00A5213B">
      <w:pPr>
        <w:spacing w:line="480" w:lineRule="auto"/>
        <w:rPr>
          <w:rFonts w:eastAsia="Times New Roman" w:cs="Times New Roman"/>
          <w:b/>
          <w:color w:val="000000" w:themeColor="text1"/>
          <w:szCs w:val="24"/>
        </w:rPr>
      </w:pPr>
      <w:bookmarkStart w:id="15" w:name="_Toc15143771"/>
      <w:r>
        <w:rPr>
          <w:rFonts w:eastAsia="Times New Roman" w:cs="Times New Roman"/>
          <w:b/>
          <w:color w:val="000000" w:themeColor="text1"/>
          <w:szCs w:val="24"/>
        </w:rPr>
        <w:t>C</w:t>
      </w:r>
      <w:r w:rsidR="00BB2269" w:rsidRPr="00A5213B">
        <w:rPr>
          <w:rFonts w:eastAsia="Times New Roman" w:cs="Times New Roman"/>
          <w:b/>
          <w:color w:val="000000" w:themeColor="text1"/>
          <w:szCs w:val="24"/>
        </w:rPr>
        <w:t>lassif</w:t>
      </w:r>
      <w:r>
        <w:rPr>
          <w:rFonts w:eastAsia="Times New Roman" w:cs="Times New Roman"/>
          <w:b/>
          <w:color w:val="000000" w:themeColor="text1"/>
          <w:szCs w:val="24"/>
        </w:rPr>
        <w:t>ication of Medication D</w:t>
      </w:r>
      <w:r w:rsidR="00BB2269" w:rsidRPr="00A5213B">
        <w:rPr>
          <w:rFonts w:eastAsia="Times New Roman" w:cs="Times New Roman"/>
          <w:b/>
          <w:color w:val="000000" w:themeColor="text1"/>
          <w:szCs w:val="24"/>
        </w:rPr>
        <w:t>iscrepancies</w:t>
      </w:r>
      <w:bookmarkEnd w:id="15"/>
    </w:p>
    <w:p w:rsidR="00A5213B" w:rsidRPr="009B0E5F" w:rsidRDefault="00501548" w:rsidP="00A5213B">
      <w:pPr>
        <w:spacing w:line="480" w:lineRule="auto"/>
        <w:rPr>
          <w:rFonts w:eastAsia="Times New Roman" w:cs="Times New Roman"/>
          <w:szCs w:val="24"/>
        </w:rPr>
      </w:pPr>
      <w:r w:rsidRPr="009B0E5F">
        <w:rPr>
          <w:rFonts w:eastAsia="Times New Roman" w:cs="Times New Roman"/>
          <w:szCs w:val="24"/>
        </w:rPr>
        <w:t xml:space="preserve">A medication discrepancy was defined as difference on the patient’s self-declared medication </w:t>
      </w:r>
      <w:r w:rsidR="0045056E" w:rsidRPr="009B0E5F">
        <w:rPr>
          <w:rFonts w:eastAsia="Times New Roman" w:cs="Times New Roman"/>
          <w:szCs w:val="24"/>
        </w:rPr>
        <w:t xml:space="preserve">list from the </w:t>
      </w:r>
      <w:r w:rsidRPr="009B0E5F">
        <w:rPr>
          <w:rFonts w:eastAsia="Times New Roman" w:cs="Times New Roman"/>
          <w:szCs w:val="24"/>
        </w:rPr>
        <w:t>medications given during hospital stay.</w:t>
      </w:r>
      <w:r w:rsidR="00D307A8" w:rsidRPr="009B0E5F">
        <w:rPr>
          <w:rFonts w:eastAsia="Times New Roman" w:cs="Times New Roman"/>
          <w:szCs w:val="24"/>
        </w:rPr>
        <w:t xml:space="preserve"> The discrepancies are placed in two categories i.e. intended discrepancies and the unintended discrepancies. The discrepancies were identified through the analysis of the medication lists as recorded by the clinical pharmacist, the medication data from the EHR system, and patient’s self-prepared medication list.</w:t>
      </w:r>
      <w:r w:rsidR="00C77DB4" w:rsidRPr="009B0E5F">
        <w:rPr>
          <w:rFonts w:eastAsia="Times New Roman" w:cs="Times New Roman"/>
          <w:szCs w:val="24"/>
        </w:rPr>
        <w:t xml:space="preserve"> In the occurrence of any unexplained discrepancy, the physician who gave the prescription was called to provide clarifications while the clinical pharmacist also sought to verify the records from the EHR system and explain any variation.</w:t>
      </w:r>
      <w:r w:rsidR="001A3A34" w:rsidRPr="009B0E5F">
        <w:rPr>
          <w:rFonts w:eastAsia="Times New Roman" w:cs="Times New Roman"/>
          <w:szCs w:val="24"/>
        </w:rPr>
        <w:t xml:space="preserve"> A discrepancy that was left completely unexplained was declared as a medication error. The two categories of the medication discrepancies are outlined in table 2 below.</w:t>
      </w:r>
    </w:p>
    <w:p w:rsidR="00BB2269" w:rsidRPr="00530F00" w:rsidRDefault="00BB2269" w:rsidP="00BB2269">
      <w:pPr>
        <w:pStyle w:val="Caption"/>
        <w:keepNext/>
        <w:rPr>
          <w:color w:val="auto"/>
        </w:rPr>
      </w:pPr>
      <w:r w:rsidRPr="00530F00">
        <w:rPr>
          <w:color w:val="auto"/>
        </w:rPr>
        <w:t>Table 2: Differences in the categories of discrepancies</w:t>
      </w:r>
    </w:p>
    <w:tbl>
      <w:tblPr>
        <w:tblStyle w:val="LightShading-Accent11"/>
        <w:tblW w:w="0" w:type="auto"/>
        <w:tblLook w:val="04A0"/>
      </w:tblPr>
      <w:tblGrid>
        <w:gridCol w:w="9576"/>
      </w:tblGrid>
      <w:tr w:rsidR="00BB2269" w:rsidTr="00667322">
        <w:trPr>
          <w:cnfStyle w:val="100000000000"/>
        </w:trPr>
        <w:tc>
          <w:tcPr>
            <w:cnfStyle w:val="001000000000"/>
            <w:tcW w:w="9576" w:type="dxa"/>
          </w:tcPr>
          <w:p w:rsidR="00BB2269" w:rsidRPr="00ED52BA" w:rsidRDefault="00BB2269" w:rsidP="00960DF2">
            <w:pPr>
              <w:spacing w:line="480" w:lineRule="auto"/>
              <w:jc w:val="center"/>
              <w:rPr>
                <w:rFonts w:cs="Times New Roman"/>
                <w:b w:val="0"/>
                <w:szCs w:val="24"/>
              </w:rPr>
            </w:pPr>
            <w:r w:rsidRPr="00ED52BA">
              <w:rPr>
                <w:rFonts w:cs="Times New Roman"/>
                <w:b w:val="0"/>
                <w:szCs w:val="24"/>
              </w:rPr>
              <w:t>Intended medical discrepancies</w:t>
            </w:r>
          </w:p>
        </w:tc>
      </w:tr>
      <w:tr w:rsidR="00BB2269" w:rsidTr="00667322">
        <w:trPr>
          <w:cnfStyle w:val="000000100000"/>
        </w:trPr>
        <w:tc>
          <w:tcPr>
            <w:cnfStyle w:val="001000000000"/>
            <w:tcW w:w="9576" w:type="dxa"/>
          </w:tcPr>
          <w:p w:rsidR="00BB2269" w:rsidRPr="001C208E" w:rsidRDefault="001C208E" w:rsidP="00BB2269">
            <w:pPr>
              <w:pStyle w:val="ListParagraph"/>
              <w:numPr>
                <w:ilvl w:val="0"/>
                <w:numId w:val="38"/>
              </w:numPr>
              <w:spacing w:line="480" w:lineRule="auto"/>
              <w:rPr>
                <w:rFonts w:cs="Times New Roman"/>
                <w:b w:val="0"/>
                <w:szCs w:val="24"/>
              </w:rPr>
            </w:pPr>
            <w:r w:rsidRPr="001C208E">
              <w:rPr>
                <w:rFonts w:cs="Times New Roman"/>
                <w:b w:val="0"/>
                <w:szCs w:val="24"/>
              </w:rPr>
              <w:t>Substitution of medications</w:t>
            </w:r>
          </w:p>
          <w:p w:rsidR="001C208E" w:rsidRPr="001C208E" w:rsidRDefault="001C208E" w:rsidP="00BB2269">
            <w:pPr>
              <w:pStyle w:val="ListParagraph"/>
              <w:numPr>
                <w:ilvl w:val="0"/>
                <w:numId w:val="38"/>
              </w:numPr>
              <w:spacing w:line="480" w:lineRule="auto"/>
              <w:rPr>
                <w:rFonts w:cs="Times New Roman"/>
                <w:b w:val="0"/>
                <w:szCs w:val="24"/>
              </w:rPr>
            </w:pPr>
            <w:r w:rsidRPr="001C208E">
              <w:rPr>
                <w:rFonts w:cs="Times New Roman"/>
                <w:b w:val="0"/>
                <w:szCs w:val="24"/>
              </w:rPr>
              <w:t>Modifying the dose and frequency of medication due health reasons</w:t>
            </w:r>
          </w:p>
          <w:p w:rsidR="00BB2269" w:rsidRPr="001C208E" w:rsidRDefault="001C208E" w:rsidP="001C208E">
            <w:pPr>
              <w:pStyle w:val="ListParagraph"/>
              <w:numPr>
                <w:ilvl w:val="0"/>
                <w:numId w:val="38"/>
              </w:numPr>
              <w:spacing w:line="480" w:lineRule="auto"/>
              <w:rPr>
                <w:rFonts w:cs="Times New Roman"/>
                <w:b w:val="0"/>
                <w:szCs w:val="24"/>
              </w:rPr>
            </w:pPr>
            <w:r w:rsidRPr="001C208E">
              <w:rPr>
                <w:rFonts w:cs="Times New Roman"/>
                <w:b w:val="0"/>
                <w:szCs w:val="24"/>
              </w:rPr>
              <w:t>Introduction of a medication as the patient attain  a new health status</w:t>
            </w:r>
          </w:p>
        </w:tc>
      </w:tr>
      <w:tr w:rsidR="00BB2269" w:rsidTr="00667322">
        <w:tc>
          <w:tcPr>
            <w:cnfStyle w:val="001000000000"/>
            <w:tcW w:w="9576" w:type="dxa"/>
          </w:tcPr>
          <w:p w:rsidR="00BB2269" w:rsidRPr="001C208E" w:rsidRDefault="00BB2269" w:rsidP="00960DF2">
            <w:pPr>
              <w:spacing w:line="480" w:lineRule="auto"/>
              <w:jc w:val="center"/>
              <w:rPr>
                <w:rFonts w:cs="Times New Roman"/>
                <w:b w:val="0"/>
                <w:szCs w:val="24"/>
              </w:rPr>
            </w:pPr>
            <w:r w:rsidRPr="001C208E">
              <w:rPr>
                <w:rFonts w:cs="Times New Roman"/>
                <w:b w:val="0"/>
                <w:szCs w:val="24"/>
              </w:rPr>
              <w:t>Unintended medical discrepancies</w:t>
            </w:r>
          </w:p>
        </w:tc>
      </w:tr>
      <w:tr w:rsidR="00BB2269" w:rsidTr="00667322">
        <w:trPr>
          <w:cnfStyle w:val="000000100000"/>
        </w:trPr>
        <w:tc>
          <w:tcPr>
            <w:cnfStyle w:val="001000000000"/>
            <w:tcW w:w="9576" w:type="dxa"/>
          </w:tcPr>
          <w:p w:rsidR="00BB2269" w:rsidRPr="001C208E" w:rsidRDefault="00243C95" w:rsidP="00BB2269">
            <w:pPr>
              <w:pStyle w:val="ListParagraph"/>
              <w:numPr>
                <w:ilvl w:val="0"/>
                <w:numId w:val="39"/>
              </w:numPr>
              <w:spacing w:line="480" w:lineRule="auto"/>
              <w:rPr>
                <w:rFonts w:cs="Times New Roman"/>
                <w:b w:val="0"/>
                <w:szCs w:val="24"/>
              </w:rPr>
            </w:pPr>
            <w:r>
              <w:rPr>
                <w:rFonts w:cs="Times New Roman"/>
                <w:b w:val="0"/>
                <w:szCs w:val="24"/>
              </w:rPr>
              <w:t>Adverse therapeutic</w:t>
            </w:r>
            <w:r w:rsidR="00BB2269" w:rsidRPr="001C208E">
              <w:rPr>
                <w:rFonts w:cs="Times New Roman"/>
                <w:b w:val="0"/>
                <w:szCs w:val="24"/>
              </w:rPr>
              <w:t xml:space="preserve"> interaction</w:t>
            </w:r>
          </w:p>
          <w:p w:rsidR="00BB2269" w:rsidRPr="001C208E" w:rsidRDefault="00243C95" w:rsidP="00BB2269">
            <w:pPr>
              <w:pStyle w:val="ListParagraph"/>
              <w:numPr>
                <w:ilvl w:val="0"/>
                <w:numId w:val="39"/>
              </w:numPr>
              <w:spacing w:line="480" w:lineRule="auto"/>
              <w:rPr>
                <w:rFonts w:cs="Times New Roman"/>
                <w:b w:val="0"/>
                <w:szCs w:val="24"/>
              </w:rPr>
            </w:pPr>
            <w:r>
              <w:rPr>
                <w:rFonts w:cs="Times New Roman"/>
                <w:b w:val="0"/>
                <w:szCs w:val="24"/>
              </w:rPr>
              <w:t>Drug duplication</w:t>
            </w:r>
          </w:p>
          <w:p w:rsidR="00BB2269" w:rsidRPr="001C208E" w:rsidRDefault="00872FEA" w:rsidP="00BB2269">
            <w:pPr>
              <w:pStyle w:val="ListParagraph"/>
              <w:numPr>
                <w:ilvl w:val="0"/>
                <w:numId w:val="39"/>
              </w:numPr>
              <w:spacing w:line="480" w:lineRule="auto"/>
              <w:rPr>
                <w:rFonts w:cs="Times New Roman"/>
                <w:b w:val="0"/>
                <w:szCs w:val="24"/>
              </w:rPr>
            </w:pPr>
            <w:r>
              <w:rPr>
                <w:rFonts w:cs="Times New Roman"/>
                <w:b w:val="0"/>
                <w:szCs w:val="24"/>
              </w:rPr>
              <w:t>Contra</w:t>
            </w:r>
            <w:r w:rsidR="00BB2269" w:rsidRPr="001C208E">
              <w:rPr>
                <w:rFonts w:cs="Times New Roman"/>
                <w:b w:val="0"/>
                <w:szCs w:val="24"/>
              </w:rPr>
              <w:t xml:space="preserve">indication </w:t>
            </w:r>
          </w:p>
          <w:p w:rsidR="00BB2269" w:rsidRPr="001C208E" w:rsidRDefault="00872FEA" w:rsidP="00BB2269">
            <w:pPr>
              <w:pStyle w:val="ListParagraph"/>
              <w:numPr>
                <w:ilvl w:val="0"/>
                <w:numId w:val="39"/>
              </w:numPr>
              <w:spacing w:line="480" w:lineRule="auto"/>
              <w:rPr>
                <w:rFonts w:cs="Times New Roman"/>
                <w:b w:val="0"/>
                <w:szCs w:val="24"/>
              </w:rPr>
            </w:pPr>
            <w:r>
              <w:rPr>
                <w:rFonts w:cs="Times New Roman"/>
                <w:b w:val="0"/>
                <w:szCs w:val="24"/>
              </w:rPr>
              <w:t>Incorrect drug</w:t>
            </w:r>
          </w:p>
          <w:p w:rsidR="00BB2269" w:rsidRPr="001C208E" w:rsidRDefault="00872FEA" w:rsidP="00BB2269">
            <w:pPr>
              <w:pStyle w:val="ListParagraph"/>
              <w:numPr>
                <w:ilvl w:val="0"/>
                <w:numId w:val="39"/>
              </w:numPr>
              <w:spacing w:line="480" w:lineRule="auto"/>
              <w:rPr>
                <w:rFonts w:cs="Times New Roman"/>
                <w:b w:val="0"/>
                <w:szCs w:val="24"/>
              </w:rPr>
            </w:pPr>
            <w:r>
              <w:rPr>
                <w:rFonts w:cs="Times New Roman"/>
                <w:b w:val="0"/>
                <w:szCs w:val="24"/>
              </w:rPr>
              <w:t>O</w:t>
            </w:r>
            <w:r w:rsidR="00BB2269" w:rsidRPr="001C208E">
              <w:rPr>
                <w:rFonts w:cs="Times New Roman"/>
                <w:b w:val="0"/>
                <w:szCs w:val="24"/>
              </w:rPr>
              <w:t>mission</w:t>
            </w:r>
          </w:p>
        </w:tc>
      </w:tr>
    </w:tbl>
    <w:p w:rsidR="00BB2269" w:rsidRDefault="00BB2269" w:rsidP="00BB2269">
      <w:pPr>
        <w:spacing w:line="480" w:lineRule="auto"/>
        <w:rPr>
          <w:rFonts w:cs="Times New Roman"/>
          <w:szCs w:val="24"/>
        </w:rPr>
      </w:pPr>
    </w:p>
    <w:p w:rsidR="007B6B13" w:rsidRPr="00FB08F3" w:rsidRDefault="007B6B13" w:rsidP="00BB2269">
      <w:pPr>
        <w:spacing w:line="480" w:lineRule="auto"/>
        <w:rPr>
          <w:rFonts w:cs="Times New Roman"/>
          <w:szCs w:val="24"/>
        </w:rPr>
      </w:pPr>
      <w:r w:rsidRPr="00FB08F3">
        <w:rPr>
          <w:rFonts w:cs="Times New Roman"/>
          <w:szCs w:val="24"/>
        </w:rPr>
        <w:t>A wrong dosing frequency whose overall daily dosage remain unaffected is not placed in any of the two categories of medical discrepancies.</w:t>
      </w:r>
      <w:r w:rsidR="00CA2A74" w:rsidRPr="00FB08F3">
        <w:rPr>
          <w:rFonts w:cs="Times New Roman"/>
          <w:szCs w:val="24"/>
        </w:rPr>
        <w:t xml:space="preserve"> Omission of a medication with a frequency, for example, one or more months is also not categorized as a discrepancy.</w:t>
      </w:r>
      <w:r w:rsidR="00AD7E47" w:rsidRPr="00FB08F3">
        <w:rPr>
          <w:rFonts w:cs="Times New Roman"/>
          <w:szCs w:val="24"/>
        </w:rPr>
        <w:t xml:space="preserve"> Discrepancies that caused a deviation from the medication order was categorized as unintended medication error.</w:t>
      </w:r>
      <w:r w:rsidR="002A635F" w:rsidRPr="00FB08F3">
        <w:rPr>
          <w:rFonts w:cs="Times New Roman"/>
          <w:szCs w:val="24"/>
        </w:rPr>
        <w:t xml:space="preserve"> A further classification of the discrepancies included high dosage, low dosage, and wrong dosage form.</w:t>
      </w:r>
      <w:r w:rsidR="00C720AC" w:rsidRPr="00FB08F3">
        <w:rPr>
          <w:rFonts w:cs="Times New Roman"/>
          <w:szCs w:val="24"/>
        </w:rPr>
        <w:t xml:space="preserve"> Discrepancies that the clinical pharmacist could not assign any clinical reason were l</w:t>
      </w:r>
      <w:r w:rsidR="004E7CE7" w:rsidRPr="00FB08F3">
        <w:rPr>
          <w:rFonts w:cs="Times New Roman"/>
          <w:szCs w:val="24"/>
        </w:rPr>
        <w:t>abeled as reconciliation errors, and were defined as the inaccuracies in the process of prescription and drug administration irrespective of whether or not the consequences are harmful.</w:t>
      </w:r>
      <w:r w:rsidR="00A31656" w:rsidRPr="00FB08F3">
        <w:rPr>
          <w:rFonts w:cs="Times New Roman"/>
          <w:szCs w:val="24"/>
        </w:rPr>
        <w:t xml:space="preserve"> The conditions for assigning the discrepancies a medication error tag were that they were not corrected before reaching the patient. The discrepancies that were identified before reaching the patients were not disqualified from the categories of medical errors.</w:t>
      </w:r>
    </w:p>
    <w:p w:rsidR="00BB2269" w:rsidRPr="00FB08F3" w:rsidRDefault="00BB2269" w:rsidP="00667322">
      <w:pPr>
        <w:pStyle w:val="Heading2"/>
        <w:spacing w:line="480" w:lineRule="auto"/>
        <w:rPr>
          <w:rFonts w:ascii="Times New Roman" w:hAnsi="Times New Roman" w:cs="Times New Roman"/>
          <w:color w:val="auto"/>
          <w:sz w:val="24"/>
          <w:szCs w:val="24"/>
        </w:rPr>
      </w:pPr>
      <w:bookmarkStart w:id="16" w:name="_Toc15143772"/>
      <w:r w:rsidRPr="00FB08F3">
        <w:rPr>
          <w:rFonts w:ascii="Times New Roman" w:hAnsi="Times New Roman" w:cs="Times New Roman"/>
          <w:color w:val="auto"/>
          <w:sz w:val="24"/>
          <w:szCs w:val="24"/>
        </w:rPr>
        <w:t>Study Variables</w:t>
      </w:r>
      <w:bookmarkEnd w:id="16"/>
    </w:p>
    <w:p w:rsidR="00E769BC" w:rsidRPr="00FB08F3" w:rsidRDefault="00EB5E93" w:rsidP="00EB5E93">
      <w:pPr>
        <w:spacing w:line="480" w:lineRule="auto"/>
      </w:pPr>
      <w:r w:rsidRPr="00FB08F3">
        <w:t xml:space="preserve">The principal aim of the study was to determine the prevalence of medical errors in Hamad General Hospital. To achieve this objective a number of independent variables were considered, which comprised of mainly demographic and clinical factors impacting the accuracy of medication lists accuracy. Other less conspicuous factors included administrative, medication, and data collection process dynamics. </w:t>
      </w:r>
      <w:r w:rsidR="007E5B70" w:rsidRPr="00FB08F3">
        <w:t xml:space="preserve">The demographic factors included in the study age, gender, nationality while the clinical factors included diagnosis, length of admission time and number of </w:t>
      </w:r>
      <w:r w:rsidR="005F3E8D" w:rsidRPr="00FB08F3">
        <w:t>drugs the patients reported taking in his/her medication list.</w:t>
      </w:r>
      <w:r w:rsidR="005C3528" w:rsidRPr="00FB08F3">
        <w:t xml:space="preserve"> The medication factors considered included polypharmacy, comorbidity, active ingredient, and high-risk medications.</w:t>
      </w:r>
      <w:r w:rsidR="00ED131D">
        <w:t xml:space="preserve"> </w:t>
      </w:r>
      <w:r w:rsidR="008F6CDF" w:rsidRPr="00FB08F3">
        <w:t xml:space="preserve">Polypharmacy is defined as the phenomenon of a patient on more than five medications in more than three months prior to admission time.  Comorbidity is the existence of more than one condition in the patient prior to admission. </w:t>
      </w:r>
      <w:r w:rsidR="00600D5A" w:rsidRPr="00FB08F3">
        <w:t xml:space="preserve">High-risk drugs are those medications with an elevated risk of causing harm to the patient. </w:t>
      </w:r>
      <w:r w:rsidR="00F86144" w:rsidRPr="00FB08F3">
        <w:t>The administrative factors involved in the study included the admission type, the admission time, and the experience of clinical pharmacist.</w:t>
      </w:r>
      <w:r w:rsidR="0015169B" w:rsidRPr="00FB08F3">
        <w:t xml:space="preserve"> The dynamics of the data collection process included the duration of the medication interview and the source of information for </w:t>
      </w:r>
      <w:r w:rsidR="00B84D3D" w:rsidRPr="00FB08F3">
        <w:t>the study. The dependent variables comprised of errors in the medication lists and were broken down to allergies, contraindication, commissions, omissions, and duplication of drugs.</w:t>
      </w:r>
    </w:p>
    <w:p w:rsidR="00BB2269" w:rsidRPr="00FB08F3" w:rsidRDefault="00BB2269" w:rsidP="00667322">
      <w:pPr>
        <w:pStyle w:val="Heading2"/>
        <w:spacing w:line="480" w:lineRule="auto"/>
        <w:rPr>
          <w:rFonts w:ascii="Times New Roman" w:hAnsi="Times New Roman" w:cs="Times New Roman"/>
          <w:color w:val="auto"/>
          <w:sz w:val="24"/>
          <w:szCs w:val="24"/>
        </w:rPr>
      </w:pPr>
      <w:bookmarkStart w:id="17" w:name="_Toc15143773"/>
      <w:r w:rsidRPr="00FB08F3">
        <w:rPr>
          <w:rFonts w:ascii="Times New Roman" w:hAnsi="Times New Roman" w:cs="Times New Roman"/>
          <w:color w:val="auto"/>
          <w:sz w:val="24"/>
          <w:szCs w:val="24"/>
        </w:rPr>
        <w:t>Statistical Analysis</w:t>
      </w:r>
      <w:bookmarkEnd w:id="17"/>
    </w:p>
    <w:p w:rsidR="001149DC" w:rsidRPr="00FB08F3" w:rsidRDefault="00916D3D" w:rsidP="00BB2269">
      <w:pPr>
        <w:spacing w:line="480" w:lineRule="auto"/>
        <w:rPr>
          <w:rFonts w:cs="Times New Roman"/>
          <w:szCs w:val="24"/>
        </w:rPr>
      </w:pPr>
      <w:r w:rsidRPr="00FB08F3">
        <w:rPr>
          <w:rFonts w:cs="Times New Roman"/>
          <w:szCs w:val="24"/>
        </w:rPr>
        <w:t>The data collected in the study was analyzed using descriptive and inferential statistics.</w:t>
      </w:r>
      <w:r w:rsidR="00CE01C1" w:rsidRPr="00FB08F3">
        <w:rPr>
          <w:rFonts w:cs="Times New Roman"/>
          <w:szCs w:val="24"/>
        </w:rPr>
        <w:t xml:space="preserve"> This was achieved by the use of the SPSS program version 23.0 that converted raw data into tables and frequency graphs that could easily be interpreted.</w:t>
      </w:r>
      <w:r w:rsidR="008D2AC3" w:rsidRPr="00FB08F3">
        <w:rPr>
          <w:rFonts w:cs="Times New Roman"/>
          <w:szCs w:val="24"/>
        </w:rPr>
        <w:t xml:space="preserve"> Quantitative variables were presented using means, frequency distribution, and standard deviations. In the analysis, a 95 % confidence interval was used.</w:t>
      </w:r>
      <w:r w:rsidR="00547542" w:rsidRPr="00FB08F3">
        <w:rPr>
          <w:rFonts w:cs="Times New Roman"/>
          <w:szCs w:val="24"/>
        </w:rPr>
        <w:t xml:space="preserve"> The relationship between the predictive factors and the occurrence of the medication errors was established using the univariate and multivariate logistic regression analysis</w:t>
      </w:r>
      <w:r w:rsidR="002C4F3C" w:rsidRPr="00FB08F3">
        <w:rPr>
          <w:rFonts w:cs="Times New Roman"/>
          <w:szCs w:val="24"/>
        </w:rPr>
        <w:t>.  The capability of the medication errors to cause adverse drug reactions was evaluated by the use of the Kappa statistic.</w:t>
      </w:r>
      <w:r w:rsidR="004D7463" w:rsidRPr="00FB08F3">
        <w:rPr>
          <w:rFonts w:cs="Times New Roman"/>
          <w:szCs w:val="24"/>
        </w:rPr>
        <w:t xml:space="preserve"> To compare the various predictive factors in their ability to cause unjustified medication errors, a multivariate logistic regression analysis was utilized using the stepwise LR approach and a selection minimum of P&lt;0.10.</w:t>
      </w:r>
      <w:r w:rsidR="00167DCD" w:rsidRPr="00FB08F3">
        <w:rPr>
          <w:rFonts w:cs="Times New Roman"/>
          <w:szCs w:val="24"/>
        </w:rPr>
        <w:t xml:space="preserve"> This analysis only included the factors that were established to be statistically significant in the univariate logistic regression evaluation.</w:t>
      </w:r>
    </w:p>
    <w:p w:rsidR="00355C84" w:rsidRPr="00FB08F3" w:rsidRDefault="00355C84" w:rsidP="00BB2269">
      <w:pPr>
        <w:spacing w:line="480" w:lineRule="auto"/>
        <w:rPr>
          <w:rFonts w:cs="Times New Roman"/>
          <w:szCs w:val="24"/>
        </w:rPr>
      </w:pPr>
      <w:r w:rsidRPr="00FB08F3">
        <w:rPr>
          <w:rFonts w:cs="Times New Roman"/>
          <w:szCs w:val="24"/>
        </w:rPr>
        <w:t>The variables were designed to develop measurable concepts. Each of the variables in gender were assigned a value, male = 1 and female = 0. Age groups were categorized as either above or below 65 years.</w:t>
      </w:r>
      <w:r w:rsidR="00A27C27" w:rsidRPr="00FB08F3">
        <w:rPr>
          <w:rFonts w:cs="Times New Roman"/>
          <w:szCs w:val="24"/>
        </w:rPr>
        <w:t xml:space="preserve"> The number of medications taken by each patient were recorded as well as the ordinal value of the allergy variable. The four major nationalities based on the data were also presented.</w:t>
      </w:r>
      <w:r w:rsidR="00215468" w:rsidRPr="00FB08F3">
        <w:rPr>
          <w:rFonts w:cs="Times New Roman"/>
          <w:szCs w:val="24"/>
        </w:rPr>
        <w:t xml:space="preserve"> The data for all the crucial variables were complete</w:t>
      </w:r>
      <w:r w:rsidR="00043CCE" w:rsidRPr="00FB08F3">
        <w:rPr>
          <w:rFonts w:cs="Times New Roman"/>
          <w:szCs w:val="24"/>
        </w:rPr>
        <w:t xml:space="preserve"> and any missing responses were corrected using the multiple imputation method.</w:t>
      </w:r>
      <w:r w:rsidR="00ED131D">
        <w:rPr>
          <w:rFonts w:cs="Times New Roman"/>
          <w:szCs w:val="24"/>
        </w:rPr>
        <w:t xml:space="preserve"> </w:t>
      </w:r>
      <w:r w:rsidR="00762C55" w:rsidRPr="00FB08F3">
        <w:rPr>
          <w:rFonts w:cs="Times New Roman"/>
          <w:szCs w:val="24"/>
        </w:rPr>
        <w:t xml:space="preserve">The </w:t>
      </w:r>
      <w:r w:rsidR="00762C55" w:rsidRPr="00FB08F3">
        <w:rPr>
          <w:rFonts w:eastAsia="Times New Roman"/>
          <w:szCs w:val="24"/>
        </w:rPr>
        <w:t>le Cessie-van Houwelingen-Copas-Hosmer unweighted sum of squares was used to verify for the goodness of fit of the data used in the study.</w:t>
      </w:r>
    </w:p>
    <w:p w:rsidR="00BB2269" w:rsidRPr="00FB08F3" w:rsidRDefault="00BB2269" w:rsidP="00667322">
      <w:pPr>
        <w:pStyle w:val="Heading1"/>
        <w:spacing w:line="480" w:lineRule="auto"/>
        <w:jc w:val="center"/>
        <w:rPr>
          <w:rFonts w:ascii="Times New Roman" w:hAnsi="Times New Roman" w:cs="Times New Roman"/>
          <w:color w:val="auto"/>
          <w:sz w:val="24"/>
          <w:szCs w:val="24"/>
        </w:rPr>
      </w:pPr>
      <w:bookmarkStart w:id="18" w:name="_Toc15143774"/>
      <w:r w:rsidRPr="00FB08F3">
        <w:rPr>
          <w:rFonts w:ascii="Times New Roman" w:hAnsi="Times New Roman" w:cs="Times New Roman"/>
          <w:color w:val="auto"/>
          <w:sz w:val="24"/>
          <w:szCs w:val="24"/>
        </w:rPr>
        <w:t>Results</w:t>
      </w:r>
      <w:bookmarkEnd w:id="18"/>
    </w:p>
    <w:p w:rsidR="00BB2269" w:rsidRPr="00667322" w:rsidRDefault="00BB2269" w:rsidP="00667322">
      <w:pPr>
        <w:pStyle w:val="Heading2"/>
        <w:spacing w:line="480" w:lineRule="auto"/>
        <w:rPr>
          <w:rFonts w:ascii="Times New Roman" w:hAnsi="Times New Roman" w:cs="Times New Roman"/>
          <w:color w:val="000000" w:themeColor="text1"/>
          <w:sz w:val="24"/>
          <w:szCs w:val="24"/>
        </w:rPr>
      </w:pPr>
      <w:bookmarkStart w:id="19" w:name="_Toc15143775"/>
      <w:r w:rsidRPr="00667322">
        <w:rPr>
          <w:rFonts w:ascii="Times New Roman" w:hAnsi="Times New Roman" w:cs="Times New Roman"/>
          <w:color w:val="000000" w:themeColor="text1"/>
          <w:sz w:val="24"/>
          <w:szCs w:val="24"/>
        </w:rPr>
        <w:t>Description of the Study Sample</w:t>
      </w:r>
      <w:bookmarkEnd w:id="19"/>
    </w:p>
    <w:p w:rsidR="00BB2269" w:rsidRDefault="00BB2269" w:rsidP="00DF349F">
      <w:pPr>
        <w:spacing w:line="480" w:lineRule="auto"/>
        <w:rPr>
          <w:rFonts w:cs="Times New Roman"/>
          <w:szCs w:val="24"/>
        </w:rPr>
      </w:pPr>
      <w:r>
        <w:rPr>
          <w:rFonts w:cs="Times New Roman"/>
          <w:szCs w:val="24"/>
        </w:rPr>
        <w:t xml:space="preserve">The data for </w:t>
      </w:r>
      <w:r w:rsidR="0009774A">
        <w:rPr>
          <w:rFonts w:cs="Times New Roman"/>
          <w:szCs w:val="24"/>
        </w:rPr>
        <w:t>the study was collected from 107</w:t>
      </w:r>
      <w:r>
        <w:rPr>
          <w:rFonts w:cs="Times New Roman"/>
          <w:szCs w:val="24"/>
        </w:rPr>
        <w:t xml:space="preserve"> participants. The demographics and clinical features of the participa</w:t>
      </w:r>
      <w:r w:rsidR="00B03078">
        <w:rPr>
          <w:rFonts w:cs="Times New Roman"/>
          <w:szCs w:val="24"/>
        </w:rPr>
        <w:t>nts show</w:t>
      </w:r>
      <w:r>
        <w:rPr>
          <w:rFonts w:cs="Times New Roman"/>
          <w:szCs w:val="24"/>
        </w:rPr>
        <w:t xml:space="preserve"> that most of the participants were </w:t>
      </w:r>
      <w:r w:rsidR="00CF4AAE">
        <w:rPr>
          <w:rFonts w:cs="Times New Roman"/>
          <w:szCs w:val="24"/>
        </w:rPr>
        <w:t>men standing at 70</w:t>
      </w:r>
      <w:r w:rsidR="004B0B93">
        <w:rPr>
          <w:rFonts w:cs="Times New Roman"/>
          <w:szCs w:val="24"/>
        </w:rPr>
        <w:t xml:space="preserve"> while</w:t>
      </w:r>
      <w:r w:rsidR="00CF4AAE">
        <w:rPr>
          <w:rFonts w:cs="Times New Roman"/>
          <w:szCs w:val="24"/>
        </w:rPr>
        <w:t xml:space="preserve"> women were 37</w:t>
      </w:r>
      <w:r w:rsidR="00483A2F">
        <w:rPr>
          <w:rFonts w:cs="Times New Roman"/>
          <w:szCs w:val="24"/>
        </w:rPr>
        <w:t>. Table 3 presents the relative frequency of this information</w:t>
      </w:r>
      <w:r w:rsidR="00CF4AAE">
        <w:rPr>
          <w:rFonts w:cs="Times New Roman"/>
          <w:szCs w:val="24"/>
        </w:rPr>
        <w:t xml:space="preserve"> </w:t>
      </w:r>
      <w:r>
        <w:rPr>
          <w:rFonts w:cs="Times New Roman"/>
          <w:szCs w:val="24"/>
        </w:rPr>
        <w:t xml:space="preserve">. Data for the age groups shows that the patients above 65 </w:t>
      </w:r>
      <w:r w:rsidR="00291EBD">
        <w:rPr>
          <w:rFonts w:cs="Times New Roman"/>
          <w:szCs w:val="24"/>
        </w:rPr>
        <w:t xml:space="preserve">years were more prevalent at </w:t>
      </w:r>
      <w:r w:rsidR="00465B9A">
        <w:rPr>
          <w:rFonts w:cs="Times New Roman"/>
          <w:szCs w:val="24"/>
        </w:rPr>
        <w:t>68</w:t>
      </w:r>
      <w:r>
        <w:rPr>
          <w:rFonts w:cs="Times New Roman"/>
          <w:szCs w:val="24"/>
        </w:rPr>
        <w:t xml:space="preserve"> as compared to t</w:t>
      </w:r>
      <w:r w:rsidR="00465B9A">
        <w:rPr>
          <w:rFonts w:cs="Times New Roman"/>
          <w:szCs w:val="24"/>
        </w:rPr>
        <w:t>hose below this age group at 39</w:t>
      </w:r>
      <w:r>
        <w:rPr>
          <w:rFonts w:cs="Times New Roman"/>
          <w:szCs w:val="24"/>
        </w:rPr>
        <w:t xml:space="preserve">. </w:t>
      </w:r>
    </w:p>
    <w:p w:rsidR="00E5579F" w:rsidRPr="00E5579F" w:rsidRDefault="00E5579F" w:rsidP="00E5579F">
      <w:pPr>
        <w:pStyle w:val="Caption"/>
        <w:keepNext/>
        <w:jc w:val="center"/>
        <w:rPr>
          <w:color w:val="auto"/>
        </w:rPr>
      </w:pPr>
      <w:r w:rsidRPr="00E5579F">
        <w:rPr>
          <w:color w:val="auto"/>
        </w:rPr>
        <w:t>Table 3: Gender frequency distribution</w:t>
      </w:r>
    </w:p>
    <w:tbl>
      <w:tblPr>
        <w:tblW w:w="5120" w:type="dxa"/>
        <w:jc w:val="center"/>
        <w:tblInd w:w="720" w:type="dxa"/>
        <w:tblLook w:val="04A0"/>
      </w:tblPr>
      <w:tblGrid>
        <w:gridCol w:w="1380"/>
        <w:gridCol w:w="1660"/>
        <w:gridCol w:w="2080"/>
      </w:tblGrid>
      <w:tr w:rsidR="002047F7" w:rsidRPr="00C94B22" w:rsidTr="00E5579F">
        <w:trPr>
          <w:trHeight w:val="300"/>
          <w:jc w:val="center"/>
        </w:trPr>
        <w:tc>
          <w:tcPr>
            <w:tcW w:w="1380" w:type="dxa"/>
            <w:tcBorders>
              <w:top w:val="single" w:sz="8" w:space="0" w:color="366092"/>
              <w:left w:val="nil"/>
              <w:bottom w:val="nil"/>
              <w:right w:val="nil"/>
            </w:tcBorders>
            <w:shd w:val="clear" w:color="4F81BD" w:fill="4F81BD"/>
            <w:noWrap/>
            <w:vAlign w:val="bottom"/>
            <w:hideMark/>
          </w:tcPr>
          <w:p w:rsidR="002047F7" w:rsidRPr="00C94B22" w:rsidRDefault="002047F7" w:rsidP="00BC54DB">
            <w:pPr>
              <w:spacing w:after="0" w:line="240" w:lineRule="auto"/>
              <w:rPr>
                <w:rFonts w:ascii="Calibri" w:eastAsia="Times New Roman" w:hAnsi="Calibri" w:cs="Times New Roman"/>
                <w:b/>
                <w:bCs/>
                <w:color w:val="FFFFFF"/>
              </w:rPr>
            </w:pPr>
            <w:r w:rsidRPr="00C94B22">
              <w:rPr>
                <w:rFonts w:ascii="Calibri" w:eastAsia="Times New Roman" w:hAnsi="Calibri" w:cs="Times New Roman"/>
                <w:b/>
                <w:bCs/>
                <w:color w:val="FFFFFF"/>
              </w:rPr>
              <w:t>Row Labels</w:t>
            </w:r>
          </w:p>
        </w:tc>
        <w:tc>
          <w:tcPr>
            <w:tcW w:w="1660" w:type="dxa"/>
            <w:tcBorders>
              <w:top w:val="single" w:sz="8" w:space="0" w:color="366092"/>
              <w:left w:val="nil"/>
              <w:bottom w:val="nil"/>
              <w:right w:val="nil"/>
            </w:tcBorders>
            <w:shd w:val="clear" w:color="4F81BD" w:fill="4F81BD"/>
            <w:noWrap/>
            <w:vAlign w:val="bottom"/>
            <w:hideMark/>
          </w:tcPr>
          <w:p w:rsidR="002047F7" w:rsidRPr="00C94B22" w:rsidRDefault="002047F7" w:rsidP="00BC54DB">
            <w:pPr>
              <w:spacing w:after="0" w:line="240" w:lineRule="auto"/>
              <w:rPr>
                <w:rFonts w:ascii="Calibri" w:eastAsia="Times New Roman" w:hAnsi="Calibri" w:cs="Times New Roman"/>
                <w:b/>
                <w:bCs/>
                <w:color w:val="FFFFFF"/>
              </w:rPr>
            </w:pPr>
            <w:r w:rsidRPr="00C94B22">
              <w:rPr>
                <w:rFonts w:ascii="Calibri" w:eastAsia="Times New Roman" w:hAnsi="Calibri" w:cs="Times New Roman"/>
                <w:b/>
                <w:bCs/>
                <w:color w:val="FFFFFF"/>
              </w:rPr>
              <w:t>Frequency</w:t>
            </w:r>
          </w:p>
        </w:tc>
        <w:tc>
          <w:tcPr>
            <w:tcW w:w="2080" w:type="dxa"/>
            <w:tcBorders>
              <w:top w:val="single" w:sz="8" w:space="0" w:color="366092"/>
              <w:left w:val="nil"/>
              <w:bottom w:val="nil"/>
              <w:right w:val="nil"/>
            </w:tcBorders>
            <w:shd w:val="clear" w:color="4F81BD" w:fill="4F81BD"/>
            <w:noWrap/>
            <w:vAlign w:val="bottom"/>
            <w:hideMark/>
          </w:tcPr>
          <w:p w:rsidR="002047F7" w:rsidRPr="00C94B22" w:rsidRDefault="002047F7" w:rsidP="00BC54DB">
            <w:pPr>
              <w:spacing w:after="0" w:line="240" w:lineRule="auto"/>
              <w:rPr>
                <w:rFonts w:ascii="Calibri" w:eastAsia="Times New Roman" w:hAnsi="Calibri" w:cs="Times New Roman"/>
                <w:b/>
                <w:bCs/>
                <w:color w:val="FFFFFF"/>
              </w:rPr>
            </w:pPr>
            <w:r w:rsidRPr="00C94B22">
              <w:rPr>
                <w:rFonts w:ascii="Calibri" w:eastAsia="Times New Roman" w:hAnsi="Calibri" w:cs="Times New Roman"/>
                <w:b/>
                <w:bCs/>
                <w:color w:val="FFFFFF"/>
              </w:rPr>
              <w:t>Relative Frequency</w:t>
            </w:r>
          </w:p>
        </w:tc>
      </w:tr>
      <w:tr w:rsidR="002047F7" w:rsidRPr="00C94B22" w:rsidTr="00E5579F">
        <w:trPr>
          <w:trHeight w:val="300"/>
          <w:jc w:val="center"/>
        </w:trPr>
        <w:tc>
          <w:tcPr>
            <w:tcW w:w="1380" w:type="dxa"/>
            <w:tcBorders>
              <w:top w:val="nil"/>
              <w:left w:val="nil"/>
              <w:bottom w:val="nil"/>
              <w:right w:val="nil"/>
            </w:tcBorders>
            <w:shd w:val="clear" w:color="auto" w:fill="auto"/>
            <w:noWrap/>
            <w:vAlign w:val="bottom"/>
            <w:hideMark/>
          </w:tcPr>
          <w:p w:rsidR="002047F7" w:rsidRPr="00C94B22" w:rsidRDefault="002047F7" w:rsidP="00BC54DB">
            <w:pPr>
              <w:spacing w:after="0" w:line="240" w:lineRule="auto"/>
              <w:rPr>
                <w:rFonts w:ascii="Calibri" w:eastAsia="Times New Roman" w:hAnsi="Calibri" w:cs="Times New Roman"/>
                <w:color w:val="000000"/>
              </w:rPr>
            </w:pPr>
            <w:r w:rsidRPr="00C94B22">
              <w:rPr>
                <w:rFonts w:ascii="Calibri" w:eastAsia="Times New Roman" w:hAnsi="Calibri" w:cs="Times New Roman"/>
                <w:color w:val="000000"/>
              </w:rPr>
              <w:t>F</w:t>
            </w:r>
          </w:p>
        </w:tc>
        <w:tc>
          <w:tcPr>
            <w:tcW w:w="1660" w:type="dxa"/>
            <w:tcBorders>
              <w:top w:val="nil"/>
              <w:left w:val="nil"/>
              <w:bottom w:val="nil"/>
              <w:right w:val="nil"/>
            </w:tcBorders>
            <w:shd w:val="clear" w:color="auto" w:fill="auto"/>
            <w:noWrap/>
            <w:vAlign w:val="bottom"/>
            <w:hideMark/>
          </w:tcPr>
          <w:p w:rsidR="002047F7" w:rsidRPr="00C94B22" w:rsidRDefault="002047F7" w:rsidP="00BC54DB">
            <w:pPr>
              <w:spacing w:after="0" w:line="240" w:lineRule="auto"/>
              <w:jc w:val="right"/>
              <w:rPr>
                <w:rFonts w:ascii="Calibri" w:eastAsia="Times New Roman" w:hAnsi="Calibri" w:cs="Times New Roman"/>
                <w:color w:val="000000"/>
              </w:rPr>
            </w:pPr>
            <w:r w:rsidRPr="00C94B22">
              <w:rPr>
                <w:rFonts w:ascii="Calibri" w:eastAsia="Times New Roman" w:hAnsi="Calibri" w:cs="Times New Roman"/>
                <w:color w:val="000000"/>
              </w:rPr>
              <w:t>37</w:t>
            </w:r>
          </w:p>
        </w:tc>
        <w:tc>
          <w:tcPr>
            <w:tcW w:w="2080" w:type="dxa"/>
            <w:tcBorders>
              <w:top w:val="nil"/>
              <w:left w:val="nil"/>
              <w:bottom w:val="nil"/>
              <w:right w:val="nil"/>
            </w:tcBorders>
            <w:shd w:val="clear" w:color="auto" w:fill="auto"/>
            <w:noWrap/>
            <w:vAlign w:val="bottom"/>
            <w:hideMark/>
          </w:tcPr>
          <w:p w:rsidR="002047F7" w:rsidRPr="00C94B22" w:rsidRDefault="002047F7" w:rsidP="00BC54DB">
            <w:pPr>
              <w:spacing w:after="0" w:line="240" w:lineRule="auto"/>
              <w:rPr>
                <w:rFonts w:ascii="Calibri" w:eastAsia="Times New Roman" w:hAnsi="Calibri" w:cs="Times New Roman"/>
                <w:color w:val="000000"/>
              </w:rPr>
            </w:pPr>
            <w:r w:rsidRPr="00C94B22">
              <w:rPr>
                <w:rFonts w:ascii="Calibri" w:eastAsia="Times New Roman" w:hAnsi="Calibri" w:cs="Times New Roman"/>
                <w:color w:val="000000"/>
              </w:rPr>
              <w:t>35%</w:t>
            </w:r>
          </w:p>
        </w:tc>
      </w:tr>
      <w:tr w:rsidR="002047F7" w:rsidRPr="00C94B22" w:rsidTr="00E5579F">
        <w:trPr>
          <w:trHeight w:val="300"/>
          <w:jc w:val="center"/>
        </w:trPr>
        <w:tc>
          <w:tcPr>
            <w:tcW w:w="1380" w:type="dxa"/>
            <w:tcBorders>
              <w:top w:val="nil"/>
              <w:left w:val="nil"/>
              <w:bottom w:val="nil"/>
              <w:right w:val="nil"/>
            </w:tcBorders>
            <w:shd w:val="clear" w:color="auto" w:fill="auto"/>
            <w:noWrap/>
            <w:vAlign w:val="bottom"/>
            <w:hideMark/>
          </w:tcPr>
          <w:p w:rsidR="002047F7" w:rsidRPr="00C94B22" w:rsidRDefault="002047F7" w:rsidP="00BC54DB">
            <w:pPr>
              <w:spacing w:after="0" w:line="240" w:lineRule="auto"/>
              <w:rPr>
                <w:rFonts w:ascii="Calibri" w:eastAsia="Times New Roman" w:hAnsi="Calibri" w:cs="Times New Roman"/>
                <w:color w:val="000000"/>
              </w:rPr>
            </w:pPr>
            <w:r w:rsidRPr="00C94B22">
              <w:rPr>
                <w:rFonts w:ascii="Calibri" w:eastAsia="Times New Roman" w:hAnsi="Calibri" w:cs="Times New Roman"/>
                <w:color w:val="000000"/>
              </w:rPr>
              <w:t>m</w:t>
            </w:r>
          </w:p>
        </w:tc>
        <w:tc>
          <w:tcPr>
            <w:tcW w:w="1660" w:type="dxa"/>
            <w:tcBorders>
              <w:top w:val="nil"/>
              <w:left w:val="nil"/>
              <w:bottom w:val="nil"/>
              <w:right w:val="nil"/>
            </w:tcBorders>
            <w:shd w:val="clear" w:color="auto" w:fill="auto"/>
            <w:noWrap/>
            <w:vAlign w:val="bottom"/>
            <w:hideMark/>
          </w:tcPr>
          <w:p w:rsidR="002047F7" w:rsidRPr="00C94B22" w:rsidRDefault="002047F7" w:rsidP="00BC54DB">
            <w:pPr>
              <w:spacing w:after="0" w:line="240" w:lineRule="auto"/>
              <w:jc w:val="right"/>
              <w:rPr>
                <w:rFonts w:ascii="Calibri" w:eastAsia="Times New Roman" w:hAnsi="Calibri" w:cs="Times New Roman"/>
                <w:color w:val="000000"/>
              </w:rPr>
            </w:pPr>
            <w:r w:rsidRPr="00C94B22">
              <w:rPr>
                <w:rFonts w:ascii="Calibri" w:eastAsia="Times New Roman" w:hAnsi="Calibri" w:cs="Times New Roman"/>
                <w:color w:val="000000"/>
              </w:rPr>
              <w:t>70</w:t>
            </w:r>
          </w:p>
        </w:tc>
        <w:tc>
          <w:tcPr>
            <w:tcW w:w="2080" w:type="dxa"/>
            <w:tcBorders>
              <w:top w:val="nil"/>
              <w:left w:val="nil"/>
              <w:bottom w:val="nil"/>
              <w:right w:val="nil"/>
            </w:tcBorders>
            <w:shd w:val="clear" w:color="auto" w:fill="auto"/>
            <w:noWrap/>
            <w:vAlign w:val="bottom"/>
            <w:hideMark/>
          </w:tcPr>
          <w:p w:rsidR="002047F7" w:rsidRPr="00C94B22" w:rsidRDefault="002047F7" w:rsidP="00BC54DB">
            <w:pPr>
              <w:spacing w:after="0" w:line="240" w:lineRule="auto"/>
              <w:rPr>
                <w:rFonts w:ascii="Calibri" w:eastAsia="Times New Roman" w:hAnsi="Calibri" w:cs="Times New Roman"/>
                <w:color w:val="000000"/>
              </w:rPr>
            </w:pPr>
            <w:r w:rsidRPr="00C94B22">
              <w:rPr>
                <w:rFonts w:ascii="Calibri" w:eastAsia="Times New Roman" w:hAnsi="Calibri" w:cs="Times New Roman"/>
                <w:color w:val="000000"/>
              </w:rPr>
              <w:t>65%</w:t>
            </w:r>
          </w:p>
        </w:tc>
      </w:tr>
      <w:tr w:rsidR="002047F7" w:rsidRPr="00C94B22" w:rsidTr="0028073C">
        <w:trPr>
          <w:trHeight w:val="773"/>
          <w:jc w:val="center"/>
        </w:trPr>
        <w:tc>
          <w:tcPr>
            <w:tcW w:w="1380" w:type="dxa"/>
            <w:tcBorders>
              <w:top w:val="single" w:sz="4" w:space="0" w:color="366092"/>
              <w:left w:val="nil"/>
              <w:bottom w:val="single" w:sz="8" w:space="0" w:color="366092"/>
              <w:right w:val="nil"/>
            </w:tcBorders>
            <w:shd w:val="clear" w:color="auto" w:fill="auto"/>
            <w:noWrap/>
            <w:vAlign w:val="bottom"/>
            <w:hideMark/>
          </w:tcPr>
          <w:p w:rsidR="002047F7" w:rsidRPr="00C94B22" w:rsidRDefault="002047F7" w:rsidP="00BC54DB">
            <w:pPr>
              <w:spacing w:after="0" w:line="240" w:lineRule="auto"/>
              <w:rPr>
                <w:rFonts w:ascii="Calibri" w:eastAsia="Times New Roman" w:hAnsi="Calibri" w:cs="Times New Roman"/>
                <w:b/>
                <w:bCs/>
                <w:color w:val="000000"/>
              </w:rPr>
            </w:pPr>
            <w:r w:rsidRPr="00C94B22">
              <w:rPr>
                <w:rFonts w:ascii="Calibri" w:eastAsia="Times New Roman" w:hAnsi="Calibri" w:cs="Times New Roman"/>
                <w:b/>
                <w:bCs/>
                <w:color w:val="000000"/>
              </w:rPr>
              <w:t>Grand Total</w:t>
            </w:r>
          </w:p>
        </w:tc>
        <w:tc>
          <w:tcPr>
            <w:tcW w:w="1660" w:type="dxa"/>
            <w:tcBorders>
              <w:top w:val="single" w:sz="4" w:space="0" w:color="366092"/>
              <w:left w:val="nil"/>
              <w:bottom w:val="single" w:sz="8" w:space="0" w:color="366092"/>
              <w:right w:val="nil"/>
            </w:tcBorders>
            <w:shd w:val="clear" w:color="auto" w:fill="auto"/>
            <w:noWrap/>
            <w:vAlign w:val="bottom"/>
            <w:hideMark/>
          </w:tcPr>
          <w:p w:rsidR="002047F7" w:rsidRPr="00C94B22" w:rsidRDefault="002047F7" w:rsidP="00BC54DB">
            <w:pPr>
              <w:spacing w:after="0" w:line="240" w:lineRule="auto"/>
              <w:jc w:val="right"/>
              <w:rPr>
                <w:rFonts w:ascii="Calibri" w:eastAsia="Times New Roman" w:hAnsi="Calibri" w:cs="Times New Roman"/>
                <w:b/>
                <w:bCs/>
                <w:color w:val="000000"/>
              </w:rPr>
            </w:pPr>
            <w:r w:rsidRPr="00C94B22">
              <w:rPr>
                <w:rFonts w:ascii="Calibri" w:eastAsia="Times New Roman" w:hAnsi="Calibri" w:cs="Times New Roman"/>
                <w:b/>
                <w:bCs/>
                <w:color w:val="000000"/>
              </w:rPr>
              <w:t>107</w:t>
            </w:r>
          </w:p>
        </w:tc>
        <w:tc>
          <w:tcPr>
            <w:tcW w:w="2080" w:type="dxa"/>
            <w:tcBorders>
              <w:top w:val="nil"/>
              <w:left w:val="nil"/>
              <w:bottom w:val="nil"/>
              <w:right w:val="nil"/>
            </w:tcBorders>
            <w:shd w:val="clear" w:color="auto" w:fill="auto"/>
            <w:noWrap/>
            <w:vAlign w:val="bottom"/>
            <w:hideMark/>
          </w:tcPr>
          <w:p w:rsidR="002047F7" w:rsidRPr="00C94B22" w:rsidRDefault="002047F7" w:rsidP="00BC54DB">
            <w:pPr>
              <w:spacing w:after="0" w:line="240" w:lineRule="auto"/>
              <w:jc w:val="right"/>
              <w:rPr>
                <w:rFonts w:ascii="Calibri" w:eastAsia="Times New Roman" w:hAnsi="Calibri" w:cs="Times New Roman"/>
                <w:color w:val="000000"/>
              </w:rPr>
            </w:pPr>
            <w:r w:rsidRPr="00C94B22">
              <w:rPr>
                <w:rFonts w:ascii="Calibri" w:eastAsia="Times New Roman" w:hAnsi="Calibri" w:cs="Times New Roman"/>
                <w:color w:val="000000"/>
              </w:rPr>
              <w:t>100%</w:t>
            </w:r>
          </w:p>
        </w:tc>
      </w:tr>
    </w:tbl>
    <w:p w:rsidR="0028073C" w:rsidRDefault="0028073C" w:rsidP="00BB2269">
      <w:pPr>
        <w:spacing w:line="480" w:lineRule="auto"/>
        <w:rPr>
          <w:rFonts w:cs="Times New Roman"/>
          <w:szCs w:val="24"/>
        </w:rPr>
      </w:pPr>
    </w:p>
    <w:p w:rsidR="00E53106" w:rsidRDefault="0073134E" w:rsidP="00BB2269">
      <w:pPr>
        <w:spacing w:line="480" w:lineRule="auto"/>
        <w:rPr>
          <w:rFonts w:cs="Times New Roman"/>
          <w:szCs w:val="24"/>
        </w:rPr>
      </w:pPr>
      <w:r>
        <w:rPr>
          <w:rFonts w:cs="Times New Roman"/>
          <w:szCs w:val="24"/>
        </w:rPr>
        <w:t>Polypharmacy cases were 25 representing 23</w:t>
      </w:r>
      <w:r w:rsidR="00BB2269">
        <w:rPr>
          <w:rFonts w:cs="Times New Roman"/>
          <w:szCs w:val="24"/>
        </w:rPr>
        <w:t>.</w:t>
      </w:r>
      <w:r>
        <w:rPr>
          <w:rFonts w:cs="Times New Roman"/>
          <w:szCs w:val="24"/>
        </w:rPr>
        <w:t>4</w:t>
      </w:r>
      <w:r w:rsidR="00BB2269">
        <w:rPr>
          <w:rFonts w:cs="Times New Roman"/>
          <w:szCs w:val="24"/>
        </w:rPr>
        <w:t xml:space="preserve"> percent. The average number of drugs stood at 3.7. There was a statistical significance in the mean a</w:t>
      </w:r>
      <w:r w:rsidR="00D30115">
        <w:rPr>
          <w:rFonts w:cs="Times New Roman"/>
          <w:szCs w:val="24"/>
        </w:rPr>
        <w:t>ge of men and women patients (56.8; SD = 14.5; p&lt;0.005 versus 61.9</w:t>
      </w:r>
      <w:r w:rsidR="00657479">
        <w:rPr>
          <w:rFonts w:cs="Times New Roman"/>
          <w:szCs w:val="24"/>
        </w:rPr>
        <w:t>; SD= 16.3; p&lt;0.05) as presented in table 4.</w:t>
      </w:r>
    </w:p>
    <w:p w:rsidR="00BD2C1F" w:rsidRPr="00BD2C1F" w:rsidRDefault="00BD2C1F" w:rsidP="00BD2C1F">
      <w:pPr>
        <w:pStyle w:val="Caption"/>
        <w:keepNext/>
        <w:jc w:val="center"/>
        <w:rPr>
          <w:color w:val="auto"/>
        </w:rPr>
      </w:pPr>
      <w:r w:rsidRPr="00BD2C1F">
        <w:rPr>
          <w:color w:val="auto"/>
        </w:rPr>
        <w:t>Table 4: Mean ages of male and female participants</w:t>
      </w:r>
    </w:p>
    <w:tbl>
      <w:tblPr>
        <w:tblW w:w="2920" w:type="dxa"/>
        <w:jc w:val="center"/>
        <w:tblInd w:w="1440" w:type="dxa"/>
        <w:tblLook w:val="04A0"/>
      </w:tblPr>
      <w:tblGrid>
        <w:gridCol w:w="1380"/>
        <w:gridCol w:w="1540"/>
      </w:tblGrid>
      <w:tr w:rsidR="00E53106" w:rsidRPr="00C94B22" w:rsidTr="00BD2C1F">
        <w:trPr>
          <w:trHeight w:val="300"/>
          <w:jc w:val="center"/>
        </w:trPr>
        <w:tc>
          <w:tcPr>
            <w:tcW w:w="1380" w:type="dxa"/>
            <w:tcBorders>
              <w:top w:val="single" w:sz="8" w:space="0" w:color="366092"/>
              <w:left w:val="nil"/>
              <w:bottom w:val="nil"/>
              <w:right w:val="nil"/>
            </w:tcBorders>
            <w:shd w:val="clear" w:color="4F81BD" w:fill="4F81BD"/>
            <w:noWrap/>
            <w:vAlign w:val="bottom"/>
            <w:hideMark/>
          </w:tcPr>
          <w:p w:rsidR="00E53106" w:rsidRPr="00C94B22" w:rsidRDefault="00E53106" w:rsidP="00BC54DB">
            <w:pPr>
              <w:spacing w:after="0" w:line="240" w:lineRule="auto"/>
              <w:rPr>
                <w:rFonts w:ascii="Calibri" w:eastAsia="Times New Roman" w:hAnsi="Calibri" w:cs="Times New Roman"/>
                <w:b/>
                <w:bCs/>
                <w:color w:val="FFFFFF"/>
              </w:rPr>
            </w:pPr>
            <w:r w:rsidRPr="00C94B22">
              <w:rPr>
                <w:rFonts w:ascii="Calibri" w:eastAsia="Times New Roman" w:hAnsi="Calibri" w:cs="Times New Roman"/>
                <w:b/>
                <w:bCs/>
                <w:color w:val="FFFFFF"/>
              </w:rPr>
              <w:t>Row Labels</w:t>
            </w:r>
          </w:p>
        </w:tc>
        <w:tc>
          <w:tcPr>
            <w:tcW w:w="1540" w:type="dxa"/>
            <w:tcBorders>
              <w:top w:val="single" w:sz="8" w:space="0" w:color="366092"/>
              <w:left w:val="nil"/>
              <w:bottom w:val="nil"/>
              <w:right w:val="nil"/>
            </w:tcBorders>
            <w:shd w:val="clear" w:color="4F81BD" w:fill="4F81BD"/>
            <w:noWrap/>
            <w:vAlign w:val="bottom"/>
            <w:hideMark/>
          </w:tcPr>
          <w:p w:rsidR="00E53106" w:rsidRPr="00C94B22" w:rsidRDefault="00E53106" w:rsidP="00BC54DB">
            <w:pPr>
              <w:spacing w:after="0" w:line="240" w:lineRule="auto"/>
              <w:rPr>
                <w:rFonts w:ascii="Calibri" w:eastAsia="Times New Roman" w:hAnsi="Calibri" w:cs="Times New Roman"/>
                <w:b/>
                <w:bCs/>
                <w:color w:val="FFFFFF"/>
              </w:rPr>
            </w:pPr>
            <w:r w:rsidRPr="00C94B22">
              <w:rPr>
                <w:rFonts w:ascii="Calibri" w:eastAsia="Times New Roman" w:hAnsi="Calibri" w:cs="Times New Roman"/>
                <w:b/>
                <w:bCs/>
                <w:color w:val="FFFFFF"/>
              </w:rPr>
              <w:t>Average of Age</w:t>
            </w:r>
          </w:p>
        </w:tc>
      </w:tr>
      <w:tr w:rsidR="00E53106" w:rsidRPr="00C94B22" w:rsidTr="00BD2C1F">
        <w:trPr>
          <w:trHeight w:val="300"/>
          <w:jc w:val="center"/>
        </w:trPr>
        <w:tc>
          <w:tcPr>
            <w:tcW w:w="1380" w:type="dxa"/>
            <w:tcBorders>
              <w:top w:val="nil"/>
              <w:left w:val="nil"/>
              <w:bottom w:val="nil"/>
              <w:right w:val="nil"/>
            </w:tcBorders>
            <w:shd w:val="clear" w:color="auto" w:fill="auto"/>
            <w:noWrap/>
            <w:vAlign w:val="bottom"/>
            <w:hideMark/>
          </w:tcPr>
          <w:p w:rsidR="00E53106" w:rsidRPr="00C94B22" w:rsidRDefault="00E53106" w:rsidP="00BC54DB">
            <w:pPr>
              <w:spacing w:after="0" w:line="240" w:lineRule="auto"/>
              <w:rPr>
                <w:rFonts w:ascii="Calibri" w:eastAsia="Times New Roman" w:hAnsi="Calibri" w:cs="Times New Roman"/>
                <w:color w:val="000000"/>
              </w:rPr>
            </w:pPr>
            <w:r w:rsidRPr="00C94B22">
              <w:rPr>
                <w:rFonts w:ascii="Calibri" w:eastAsia="Times New Roman" w:hAnsi="Calibri" w:cs="Times New Roman"/>
                <w:color w:val="000000"/>
              </w:rPr>
              <w:t>F</w:t>
            </w:r>
          </w:p>
        </w:tc>
        <w:tc>
          <w:tcPr>
            <w:tcW w:w="1540" w:type="dxa"/>
            <w:tcBorders>
              <w:top w:val="nil"/>
              <w:left w:val="nil"/>
              <w:bottom w:val="nil"/>
              <w:right w:val="nil"/>
            </w:tcBorders>
            <w:shd w:val="clear" w:color="auto" w:fill="auto"/>
            <w:noWrap/>
            <w:vAlign w:val="bottom"/>
            <w:hideMark/>
          </w:tcPr>
          <w:p w:rsidR="00E53106" w:rsidRPr="00C94B22" w:rsidRDefault="00E53106" w:rsidP="00BC54DB">
            <w:pPr>
              <w:spacing w:after="0" w:line="240" w:lineRule="auto"/>
              <w:jc w:val="right"/>
              <w:rPr>
                <w:rFonts w:ascii="Calibri" w:eastAsia="Times New Roman" w:hAnsi="Calibri" w:cs="Times New Roman"/>
                <w:color w:val="000000"/>
              </w:rPr>
            </w:pPr>
            <w:r w:rsidRPr="00C94B22">
              <w:rPr>
                <w:rFonts w:ascii="Calibri" w:eastAsia="Times New Roman" w:hAnsi="Calibri" w:cs="Times New Roman"/>
                <w:color w:val="000000"/>
              </w:rPr>
              <w:t>61.86486486</w:t>
            </w:r>
          </w:p>
        </w:tc>
      </w:tr>
      <w:tr w:rsidR="00E53106" w:rsidRPr="00C94B22" w:rsidTr="00BD2C1F">
        <w:trPr>
          <w:trHeight w:val="300"/>
          <w:jc w:val="center"/>
        </w:trPr>
        <w:tc>
          <w:tcPr>
            <w:tcW w:w="1380" w:type="dxa"/>
            <w:tcBorders>
              <w:top w:val="nil"/>
              <w:left w:val="nil"/>
              <w:bottom w:val="nil"/>
              <w:right w:val="nil"/>
            </w:tcBorders>
            <w:shd w:val="clear" w:color="auto" w:fill="auto"/>
            <w:noWrap/>
            <w:vAlign w:val="bottom"/>
            <w:hideMark/>
          </w:tcPr>
          <w:p w:rsidR="00E53106" w:rsidRPr="00C94B22" w:rsidRDefault="00E53106" w:rsidP="00BC54DB">
            <w:pPr>
              <w:spacing w:after="0" w:line="240" w:lineRule="auto"/>
              <w:rPr>
                <w:rFonts w:ascii="Calibri" w:eastAsia="Times New Roman" w:hAnsi="Calibri" w:cs="Times New Roman"/>
                <w:color w:val="000000"/>
              </w:rPr>
            </w:pPr>
            <w:r w:rsidRPr="00C94B22">
              <w:rPr>
                <w:rFonts w:ascii="Calibri" w:eastAsia="Times New Roman" w:hAnsi="Calibri" w:cs="Times New Roman"/>
                <w:color w:val="000000"/>
              </w:rPr>
              <w:t>m</w:t>
            </w:r>
          </w:p>
        </w:tc>
        <w:tc>
          <w:tcPr>
            <w:tcW w:w="1540" w:type="dxa"/>
            <w:tcBorders>
              <w:top w:val="nil"/>
              <w:left w:val="nil"/>
              <w:bottom w:val="nil"/>
              <w:right w:val="nil"/>
            </w:tcBorders>
            <w:shd w:val="clear" w:color="auto" w:fill="auto"/>
            <w:noWrap/>
            <w:vAlign w:val="bottom"/>
            <w:hideMark/>
          </w:tcPr>
          <w:p w:rsidR="00E53106" w:rsidRPr="00C94B22" w:rsidRDefault="00E53106" w:rsidP="00BC54DB">
            <w:pPr>
              <w:spacing w:after="0" w:line="240" w:lineRule="auto"/>
              <w:jc w:val="right"/>
              <w:rPr>
                <w:rFonts w:ascii="Calibri" w:eastAsia="Times New Roman" w:hAnsi="Calibri" w:cs="Times New Roman"/>
                <w:color w:val="000000"/>
              </w:rPr>
            </w:pPr>
            <w:r w:rsidRPr="00C94B22">
              <w:rPr>
                <w:rFonts w:ascii="Calibri" w:eastAsia="Times New Roman" w:hAnsi="Calibri" w:cs="Times New Roman"/>
                <w:color w:val="000000"/>
              </w:rPr>
              <w:t>56.78571429</w:t>
            </w:r>
          </w:p>
        </w:tc>
      </w:tr>
      <w:tr w:rsidR="00E53106" w:rsidRPr="00C94B22" w:rsidTr="00BD2C1F">
        <w:trPr>
          <w:trHeight w:val="300"/>
          <w:jc w:val="center"/>
        </w:trPr>
        <w:tc>
          <w:tcPr>
            <w:tcW w:w="1380" w:type="dxa"/>
            <w:tcBorders>
              <w:top w:val="single" w:sz="4" w:space="0" w:color="366092"/>
              <w:left w:val="nil"/>
              <w:bottom w:val="single" w:sz="8" w:space="0" w:color="366092"/>
              <w:right w:val="nil"/>
            </w:tcBorders>
            <w:shd w:val="clear" w:color="auto" w:fill="auto"/>
            <w:noWrap/>
            <w:vAlign w:val="bottom"/>
            <w:hideMark/>
          </w:tcPr>
          <w:p w:rsidR="00E53106" w:rsidRPr="00C94B22" w:rsidRDefault="00E53106" w:rsidP="00BC54DB">
            <w:pPr>
              <w:spacing w:after="0" w:line="240" w:lineRule="auto"/>
              <w:rPr>
                <w:rFonts w:ascii="Calibri" w:eastAsia="Times New Roman" w:hAnsi="Calibri" w:cs="Times New Roman"/>
                <w:b/>
                <w:bCs/>
                <w:color w:val="000000"/>
              </w:rPr>
            </w:pPr>
            <w:r w:rsidRPr="00C94B22">
              <w:rPr>
                <w:rFonts w:ascii="Calibri" w:eastAsia="Times New Roman" w:hAnsi="Calibri" w:cs="Times New Roman"/>
                <w:b/>
                <w:bCs/>
                <w:color w:val="000000"/>
              </w:rPr>
              <w:t>Grand Total</w:t>
            </w:r>
          </w:p>
        </w:tc>
        <w:tc>
          <w:tcPr>
            <w:tcW w:w="1540" w:type="dxa"/>
            <w:tcBorders>
              <w:top w:val="single" w:sz="4" w:space="0" w:color="366092"/>
              <w:left w:val="nil"/>
              <w:bottom w:val="single" w:sz="8" w:space="0" w:color="366092"/>
              <w:right w:val="nil"/>
            </w:tcBorders>
            <w:shd w:val="clear" w:color="auto" w:fill="auto"/>
            <w:noWrap/>
            <w:vAlign w:val="bottom"/>
            <w:hideMark/>
          </w:tcPr>
          <w:p w:rsidR="00E53106" w:rsidRPr="00C94B22" w:rsidRDefault="00E53106" w:rsidP="00BC54DB">
            <w:pPr>
              <w:spacing w:after="0" w:line="240" w:lineRule="auto"/>
              <w:jc w:val="right"/>
              <w:rPr>
                <w:rFonts w:ascii="Calibri" w:eastAsia="Times New Roman" w:hAnsi="Calibri" w:cs="Times New Roman"/>
                <w:b/>
                <w:bCs/>
                <w:color w:val="000000"/>
              </w:rPr>
            </w:pPr>
            <w:r w:rsidRPr="00C94B22">
              <w:rPr>
                <w:rFonts w:ascii="Calibri" w:eastAsia="Times New Roman" w:hAnsi="Calibri" w:cs="Times New Roman"/>
                <w:b/>
                <w:bCs/>
                <w:color w:val="000000"/>
              </w:rPr>
              <w:t>58.54205607</w:t>
            </w:r>
          </w:p>
        </w:tc>
      </w:tr>
    </w:tbl>
    <w:p w:rsidR="00BB2269" w:rsidRDefault="00BB2269" w:rsidP="00BB2269">
      <w:pPr>
        <w:spacing w:line="480" w:lineRule="auto"/>
        <w:rPr>
          <w:rFonts w:cs="Times New Roman"/>
          <w:szCs w:val="24"/>
        </w:rPr>
      </w:pPr>
      <w:r>
        <w:rPr>
          <w:rFonts w:cs="Times New Roman"/>
          <w:szCs w:val="24"/>
        </w:rPr>
        <w:t>The average number of drugs per patient was higher in women at 5.5 than in men at 3.4 at p&lt;0.005. About 36.2 percent of the patients presented a medication list during the time of admission while 27.0 percent of the medication histories were retrieved through other means as described in data collection.</w:t>
      </w:r>
      <w:r w:rsidR="000A69D3">
        <w:rPr>
          <w:rFonts w:cs="Times New Roman"/>
          <w:szCs w:val="24"/>
        </w:rPr>
        <w:t xml:space="preserve"> The overall results of the demographics analysis is presented in table 5</w:t>
      </w:r>
    </w:p>
    <w:p w:rsidR="00BB2269" w:rsidRPr="000B0180" w:rsidRDefault="000A69D3" w:rsidP="00BB2269">
      <w:pPr>
        <w:spacing w:line="480" w:lineRule="auto"/>
        <w:rPr>
          <w:rFonts w:cs="Times New Roman"/>
          <w:b/>
          <w:sz w:val="18"/>
          <w:szCs w:val="18"/>
        </w:rPr>
      </w:pPr>
      <w:r>
        <w:rPr>
          <w:rFonts w:cs="Times New Roman"/>
          <w:b/>
          <w:sz w:val="18"/>
          <w:szCs w:val="18"/>
        </w:rPr>
        <w:t xml:space="preserve">Table </w:t>
      </w:r>
      <w:r w:rsidR="00CC10CD">
        <w:rPr>
          <w:rFonts w:cs="Times New Roman"/>
          <w:b/>
          <w:sz w:val="18"/>
          <w:szCs w:val="18"/>
        </w:rPr>
        <w:t>5</w:t>
      </w:r>
      <w:r w:rsidR="00BB2269" w:rsidRPr="000B0180">
        <w:rPr>
          <w:rFonts w:cs="Times New Roman"/>
          <w:b/>
          <w:sz w:val="18"/>
          <w:szCs w:val="18"/>
        </w:rPr>
        <w:t>. Characteristics of the study population</w:t>
      </w:r>
    </w:p>
    <w:tbl>
      <w:tblPr>
        <w:tblpPr w:leftFromText="180" w:rightFromText="180" w:vertAnchor="text" w:tblpY="1"/>
        <w:tblOverlap w:val="never"/>
        <w:tblW w:w="0" w:type="auto"/>
        <w:tblLayout w:type="fixed"/>
        <w:tblCellMar>
          <w:left w:w="0" w:type="dxa"/>
          <w:right w:w="0" w:type="dxa"/>
        </w:tblCellMar>
        <w:tblLook w:val="0000"/>
      </w:tblPr>
      <w:tblGrid>
        <w:gridCol w:w="50"/>
        <w:gridCol w:w="3766"/>
        <w:gridCol w:w="24"/>
        <w:gridCol w:w="500"/>
        <w:gridCol w:w="200"/>
        <w:gridCol w:w="1080"/>
        <w:gridCol w:w="290"/>
        <w:gridCol w:w="57"/>
      </w:tblGrid>
      <w:tr w:rsidR="00BB2269" w:rsidTr="00960DF2">
        <w:trPr>
          <w:gridAfter w:val="2"/>
          <w:wAfter w:w="347" w:type="dxa"/>
          <w:trHeight w:val="182"/>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5"/>
              </w:rPr>
            </w:pPr>
          </w:p>
        </w:tc>
        <w:tc>
          <w:tcPr>
            <w:tcW w:w="5568" w:type="dxa"/>
            <w:gridSpan w:val="5"/>
            <w:tcBorders>
              <w:top w:val="single" w:sz="4" w:space="0" w:color="auto"/>
              <w:bottom w:val="single" w:sz="4" w:space="0" w:color="auto"/>
              <w:right w:val="single" w:sz="4" w:space="0" w:color="auto"/>
            </w:tcBorders>
            <w:shd w:val="clear" w:color="auto" w:fill="auto"/>
          </w:tcPr>
          <w:p w:rsidR="00BB2269" w:rsidRDefault="008059B9" w:rsidP="00960DF2">
            <w:pPr>
              <w:tabs>
                <w:tab w:val="left" w:pos="4080"/>
              </w:tabs>
              <w:rPr>
                <w:rFonts w:eastAsia="Times New Roman"/>
                <w:sz w:val="15"/>
              </w:rPr>
            </w:pPr>
            <w:r>
              <w:rPr>
                <w:rFonts w:eastAsia="Times New Roman"/>
                <w:sz w:val="15"/>
              </w:rPr>
              <w:tab/>
              <w:t>N = 107</w:t>
            </w:r>
          </w:p>
        </w:tc>
      </w:tr>
      <w:tr w:rsidR="00BB2269" w:rsidTr="00960DF2">
        <w:trPr>
          <w:gridAfter w:val="2"/>
          <w:wAfter w:w="345" w:type="dxa"/>
          <w:trHeight w:val="185"/>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3766" w:type="dxa"/>
            <w:tcBorders>
              <w:bottom w:val="single" w:sz="8" w:space="0" w:color="auto"/>
              <w:right w:val="single" w:sz="4" w:space="0" w:color="auto"/>
            </w:tcBorders>
            <w:shd w:val="clear" w:color="auto" w:fill="auto"/>
            <w:vAlign w:val="bottom"/>
          </w:tcPr>
          <w:p w:rsidR="00BB2269" w:rsidRPr="00E33713" w:rsidRDefault="00BB2269" w:rsidP="00960DF2">
            <w:pPr>
              <w:spacing w:line="182" w:lineRule="exact"/>
              <w:ind w:left="280"/>
              <w:rPr>
                <w:b/>
                <w:color w:val="000000" w:themeColor="text1"/>
                <w:sz w:val="16"/>
              </w:rPr>
            </w:pPr>
          </w:p>
        </w:tc>
        <w:tc>
          <w:tcPr>
            <w:tcW w:w="524" w:type="dxa"/>
            <w:gridSpan w:val="2"/>
            <w:tcBorders>
              <w:left w:val="single" w:sz="4" w:space="0" w:color="auto"/>
              <w:bottom w:val="single" w:sz="8" w:space="0" w:color="auto"/>
            </w:tcBorders>
            <w:shd w:val="clear" w:color="auto" w:fill="auto"/>
            <w:vAlign w:val="bottom"/>
          </w:tcPr>
          <w:p w:rsidR="00BB2269" w:rsidRPr="00E33713" w:rsidRDefault="00BB2269" w:rsidP="00960DF2">
            <w:pPr>
              <w:spacing w:line="182" w:lineRule="exact"/>
              <w:ind w:left="280"/>
              <w:rPr>
                <w:b/>
                <w:color w:val="000000" w:themeColor="text1"/>
                <w:sz w:val="16"/>
              </w:rPr>
            </w:pPr>
            <w:r>
              <w:rPr>
                <w:b/>
                <w:color w:val="000000" w:themeColor="text1"/>
                <w:sz w:val="16"/>
              </w:rPr>
              <w:t>n</w:t>
            </w:r>
          </w:p>
        </w:tc>
        <w:tc>
          <w:tcPr>
            <w:tcW w:w="1280" w:type="dxa"/>
            <w:gridSpan w:val="2"/>
            <w:tcBorders>
              <w:bottom w:val="single" w:sz="8" w:space="0" w:color="auto"/>
              <w:right w:val="single" w:sz="4" w:space="0" w:color="auto"/>
            </w:tcBorders>
            <w:shd w:val="clear" w:color="auto" w:fill="auto"/>
            <w:vAlign w:val="bottom"/>
          </w:tcPr>
          <w:p w:rsidR="00BB2269" w:rsidRDefault="00BB2269" w:rsidP="00960DF2">
            <w:pPr>
              <w:spacing w:line="182" w:lineRule="exact"/>
              <w:jc w:val="center"/>
              <w:rPr>
                <w:b/>
                <w:color w:val="000000" w:themeColor="text1"/>
                <w:sz w:val="16"/>
              </w:rPr>
            </w:pPr>
          </w:p>
          <w:p w:rsidR="00BB2269" w:rsidRPr="00E33713" w:rsidRDefault="00BB2269" w:rsidP="00960DF2">
            <w:pPr>
              <w:spacing w:line="182" w:lineRule="exact"/>
              <w:jc w:val="center"/>
              <w:rPr>
                <w:b/>
                <w:color w:val="000000" w:themeColor="text1"/>
                <w:sz w:val="16"/>
              </w:rPr>
            </w:pPr>
            <w:r>
              <w:rPr>
                <w:b/>
                <w:color w:val="000000" w:themeColor="text1"/>
                <w:sz w:val="16"/>
              </w:rPr>
              <w:t>%</w:t>
            </w:r>
          </w:p>
        </w:tc>
      </w:tr>
      <w:tr w:rsidR="00BB2269" w:rsidTr="00960DF2">
        <w:trPr>
          <w:trHeight w:val="182"/>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5"/>
              </w:rPr>
            </w:pPr>
          </w:p>
        </w:tc>
        <w:tc>
          <w:tcPr>
            <w:tcW w:w="3766" w:type="dxa"/>
            <w:tcBorders>
              <w:righ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5"/>
              </w:rPr>
            </w:pPr>
            <w:r w:rsidRPr="00E33713">
              <w:rPr>
                <w:b/>
                <w:color w:val="000000" w:themeColor="text1"/>
                <w:sz w:val="16"/>
              </w:rPr>
              <w:t>Gender</w:t>
            </w:r>
          </w:p>
        </w:tc>
        <w:tc>
          <w:tcPr>
            <w:tcW w:w="524" w:type="dxa"/>
            <w:gridSpan w:val="2"/>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200" w:type="dxa"/>
            <w:tcBorders>
              <w:right w:val="single" w:sz="8"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1080" w:type="dxa"/>
            <w:tcBorders>
              <w:righ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290" w:type="dxa"/>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55" w:type="dxa"/>
            <w:shd w:val="clear" w:color="auto" w:fill="auto"/>
            <w:vAlign w:val="bottom"/>
          </w:tcPr>
          <w:p w:rsidR="00BB2269" w:rsidRDefault="00BB2269" w:rsidP="00960DF2">
            <w:pPr>
              <w:spacing w:line="0" w:lineRule="atLeast"/>
              <w:rPr>
                <w:rFonts w:eastAsia="Times New Roman"/>
                <w:sz w:val="15"/>
              </w:rPr>
            </w:pPr>
          </w:p>
        </w:tc>
      </w:tr>
      <w:tr w:rsidR="00BB2269" w:rsidTr="00960DF2">
        <w:trPr>
          <w:trHeight w:val="196"/>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7"/>
              </w:rPr>
            </w:pPr>
          </w:p>
        </w:tc>
        <w:tc>
          <w:tcPr>
            <w:tcW w:w="3790" w:type="dxa"/>
            <w:gridSpan w:val="2"/>
            <w:tcBorders>
              <w:right w:val="single" w:sz="4" w:space="0" w:color="auto"/>
            </w:tcBorders>
            <w:shd w:val="clear" w:color="auto" w:fill="auto"/>
            <w:vAlign w:val="bottom"/>
          </w:tcPr>
          <w:p w:rsidR="00BB2269" w:rsidRPr="00E33713" w:rsidRDefault="00BB2269" w:rsidP="00960DF2">
            <w:pPr>
              <w:spacing w:line="0" w:lineRule="atLeast"/>
              <w:ind w:right="59"/>
              <w:jc w:val="right"/>
              <w:rPr>
                <w:color w:val="000000" w:themeColor="text1"/>
                <w:sz w:val="16"/>
              </w:rPr>
            </w:pPr>
            <w:r w:rsidRPr="00E33713">
              <w:rPr>
                <w:color w:val="000000" w:themeColor="text1"/>
                <w:sz w:val="16"/>
              </w:rPr>
              <w:t>Female</w:t>
            </w:r>
          </w:p>
        </w:tc>
        <w:tc>
          <w:tcPr>
            <w:tcW w:w="500" w:type="dxa"/>
            <w:tcBorders>
              <w:left w:val="single" w:sz="4" w:space="0" w:color="auto"/>
            </w:tcBorders>
            <w:shd w:val="clear" w:color="auto" w:fill="auto"/>
            <w:vAlign w:val="bottom"/>
          </w:tcPr>
          <w:p w:rsidR="00BB2269" w:rsidRPr="00E33713" w:rsidRDefault="003B7F6A" w:rsidP="00960DF2">
            <w:pPr>
              <w:spacing w:line="0" w:lineRule="atLeast"/>
              <w:ind w:left="80"/>
              <w:jc w:val="center"/>
              <w:rPr>
                <w:color w:val="000000" w:themeColor="text1"/>
                <w:sz w:val="16"/>
              </w:rPr>
            </w:pPr>
            <w:r>
              <w:rPr>
                <w:color w:val="000000" w:themeColor="text1"/>
                <w:sz w:val="16"/>
              </w:rPr>
              <w:t>37</w:t>
            </w:r>
          </w:p>
        </w:tc>
        <w:tc>
          <w:tcPr>
            <w:tcW w:w="200" w:type="dxa"/>
            <w:tcBorders>
              <w:right w:val="single" w:sz="8"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7"/>
              </w:rPr>
            </w:pPr>
          </w:p>
        </w:tc>
        <w:tc>
          <w:tcPr>
            <w:tcW w:w="1080" w:type="dxa"/>
            <w:tcBorders>
              <w:right w:val="single" w:sz="4" w:space="0" w:color="auto"/>
            </w:tcBorders>
            <w:shd w:val="clear" w:color="auto" w:fill="auto"/>
            <w:vAlign w:val="bottom"/>
          </w:tcPr>
          <w:p w:rsidR="00BB2269" w:rsidRPr="00E33713" w:rsidRDefault="003B7F6A" w:rsidP="003B7F6A">
            <w:pPr>
              <w:spacing w:line="0" w:lineRule="atLeast"/>
              <w:jc w:val="center"/>
              <w:rPr>
                <w:color w:val="000000" w:themeColor="text1"/>
                <w:w w:val="99"/>
                <w:sz w:val="16"/>
              </w:rPr>
            </w:pPr>
            <w:r>
              <w:rPr>
                <w:color w:val="000000" w:themeColor="text1"/>
                <w:w w:val="99"/>
                <w:sz w:val="16"/>
              </w:rPr>
              <w:t>(34.6</w:t>
            </w:r>
            <w:r w:rsidR="00BB2269" w:rsidRPr="00E33713">
              <w:rPr>
                <w:color w:val="000000" w:themeColor="text1"/>
                <w:w w:val="99"/>
                <w:sz w:val="16"/>
              </w:rPr>
              <w:t>)</w:t>
            </w:r>
          </w:p>
        </w:tc>
        <w:tc>
          <w:tcPr>
            <w:tcW w:w="290" w:type="dxa"/>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7"/>
              </w:rPr>
            </w:pPr>
          </w:p>
        </w:tc>
        <w:tc>
          <w:tcPr>
            <w:tcW w:w="55" w:type="dxa"/>
            <w:shd w:val="clear" w:color="auto" w:fill="auto"/>
            <w:vAlign w:val="bottom"/>
          </w:tcPr>
          <w:p w:rsidR="00BB2269" w:rsidRDefault="00BB2269" w:rsidP="00960DF2">
            <w:pPr>
              <w:spacing w:line="0" w:lineRule="atLeast"/>
              <w:rPr>
                <w:rFonts w:eastAsia="Times New Roman"/>
                <w:sz w:val="17"/>
              </w:rPr>
            </w:pPr>
          </w:p>
        </w:tc>
      </w:tr>
      <w:tr w:rsidR="00BB2269" w:rsidTr="00960DF2">
        <w:trPr>
          <w:trHeight w:val="199"/>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7"/>
              </w:rPr>
            </w:pPr>
          </w:p>
        </w:tc>
        <w:tc>
          <w:tcPr>
            <w:tcW w:w="3790" w:type="dxa"/>
            <w:gridSpan w:val="2"/>
            <w:tcBorders>
              <w:bottom w:val="single" w:sz="8" w:space="0" w:color="auto"/>
              <w:right w:val="single" w:sz="8" w:space="0" w:color="auto"/>
            </w:tcBorders>
            <w:shd w:val="clear" w:color="auto" w:fill="auto"/>
            <w:vAlign w:val="bottom"/>
          </w:tcPr>
          <w:p w:rsidR="00BB2269" w:rsidRPr="00E33713" w:rsidRDefault="00BB2269" w:rsidP="00960DF2">
            <w:pPr>
              <w:spacing w:line="0" w:lineRule="atLeast"/>
              <w:ind w:right="59"/>
              <w:jc w:val="right"/>
              <w:rPr>
                <w:color w:val="000000" w:themeColor="text1"/>
                <w:sz w:val="16"/>
              </w:rPr>
            </w:pPr>
            <w:r w:rsidRPr="00E33713">
              <w:rPr>
                <w:color w:val="000000" w:themeColor="text1"/>
                <w:sz w:val="16"/>
              </w:rPr>
              <w:t>Male</w:t>
            </w:r>
          </w:p>
        </w:tc>
        <w:tc>
          <w:tcPr>
            <w:tcW w:w="500" w:type="dxa"/>
            <w:tcBorders>
              <w:bottom w:val="single" w:sz="8" w:space="0" w:color="auto"/>
            </w:tcBorders>
            <w:shd w:val="clear" w:color="auto" w:fill="auto"/>
            <w:vAlign w:val="bottom"/>
          </w:tcPr>
          <w:p w:rsidR="00BB2269" w:rsidRPr="00E33713" w:rsidRDefault="003B7F6A" w:rsidP="00960DF2">
            <w:pPr>
              <w:spacing w:line="0" w:lineRule="atLeast"/>
              <w:ind w:left="80"/>
              <w:jc w:val="center"/>
              <w:rPr>
                <w:color w:val="000000" w:themeColor="text1"/>
                <w:sz w:val="16"/>
              </w:rPr>
            </w:pPr>
            <w:r>
              <w:rPr>
                <w:color w:val="000000" w:themeColor="text1"/>
                <w:sz w:val="16"/>
              </w:rPr>
              <w:t>70</w:t>
            </w:r>
          </w:p>
        </w:tc>
        <w:tc>
          <w:tcPr>
            <w:tcW w:w="200" w:type="dxa"/>
            <w:tcBorders>
              <w:bottom w:val="single" w:sz="8" w:space="0" w:color="auto"/>
              <w:right w:val="single" w:sz="8"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7"/>
              </w:rPr>
            </w:pPr>
          </w:p>
        </w:tc>
        <w:tc>
          <w:tcPr>
            <w:tcW w:w="1080" w:type="dxa"/>
            <w:tcBorders>
              <w:bottom w:val="single" w:sz="8" w:space="0" w:color="auto"/>
              <w:right w:val="single" w:sz="4" w:space="0" w:color="auto"/>
            </w:tcBorders>
            <w:shd w:val="clear" w:color="auto" w:fill="auto"/>
            <w:vAlign w:val="bottom"/>
          </w:tcPr>
          <w:p w:rsidR="00BB2269" w:rsidRPr="00E33713" w:rsidRDefault="00BB2269" w:rsidP="003B7F6A">
            <w:pPr>
              <w:spacing w:line="0" w:lineRule="atLeast"/>
              <w:jc w:val="center"/>
              <w:rPr>
                <w:color w:val="000000" w:themeColor="text1"/>
                <w:w w:val="99"/>
                <w:sz w:val="16"/>
              </w:rPr>
            </w:pPr>
            <w:r w:rsidRPr="00E33713">
              <w:rPr>
                <w:color w:val="000000" w:themeColor="text1"/>
                <w:w w:val="99"/>
                <w:sz w:val="16"/>
              </w:rPr>
              <w:t>(</w:t>
            </w:r>
            <w:r w:rsidR="003B7F6A">
              <w:rPr>
                <w:color w:val="000000" w:themeColor="text1"/>
                <w:w w:val="99"/>
                <w:sz w:val="16"/>
              </w:rPr>
              <w:t>65.4</w:t>
            </w:r>
            <w:r w:rsidRPr="00E33713">
              <w:rPr>
                <w:color w:val="000000" w:themeColor="text1"/>
                <w:w w:val="99"/>
                <w:sz w:val="16"/>
              </w:rPr>
              <w:t>)</w:t>
            </w:r>
          </w:p>
        </w:tc>
        <w:tc>
          <w:tcPr>
            <w:tcW w:w="290" w:type="dxa"/>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7"/>
              </w:rPr>
            </w:pPr>
          </w:p>
        </w:tc>
        <w:tc>
          <w:tcPr>
            <w:tcW w:w="55" w:type="dxa"/>
            <w:shd w:val="clear" w:color="auto" w:fill="auto"/>
            <w:vAlign w:val="bottom"/>
          </w:tcPr>
          <w:p w:rsidR="00BB2269" w:rsidRDefault="00BB2269" w:rsidP="00960DF2">
            <w:pPr>
              <w:spacing w:line="0" w:lineRule="atLeast"/>
              <w:rPr>
                <w:rFonts w:eastAsia="Times New Roman"/>
                <w:sz w:val="17"/>
              </w:rPr>
            </w:pPr>
          </w:p>
        </w:tc>
      </w:tr>
      <w:tr w:rsidR="00BB2269" w:rsidTr="00960DF2">
        <w:trPr>
          <w:trHeight w:val="182"/>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5"/>
              </w:rPr>
            </w:pPr>
          </w:p>
        </w:tc>
        <w:tc>
          <w:tcPr>
            <w:tcW w:w="3790" w:type="dxa"/>
            <w:gridSpan w:val="2"/>
            <w:tcBorders>
              <w:right w:val="single" w:sz="8" w:space="0" w:color="auto"/>
            </w:tcBorders>
            <w:shd w:val="clear" w:color="auto" w:fill="auto"/>
            <w:vAlign w:val="bottom"/>
          </w:tcPr>
          <w:p w:rsidR="00BB2269" w:rsidRPr="00E33713" w:rsidRDefault="00BB2269" w:rsidP="00960DF2">
            <w:pPr>
              <w:spacing w:line="182" w:lineRule="exact"/>
              <w:ind w:left="100"/>
              <w:rPr>
                <w:b/>
                <w:color w:val="000000" w:themeColor="text1"/>
                <w:sz w:val="16"/>
              </w:rPr>
            </w:pPr>
            <w:r w:rsidRPr="00E33713">
              <w:rPr>
                <w:b/>
                <w:color w:val="000000" w:themeColor="text1"/>
                <w:sz w:val="16"/>
              </w:rPr>
              <w:t>Age groups</w:t>
            </w:r>
          </w:p>
        </w:tc>
        <w:tc>
          <w:tcPr>
            <w:tcW w:w="500" w:type="dxa"/>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200" w:type="dxa"/>
            <w:tcBorders>
              <w:right w:val="single" w:sz="8"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1080" w:type="dxa"/>
            <w:tcBorders>
              <w:righ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290" w:type="dxa"/>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55" w:type="dxa"/>
            <w:shd w:val="clear" w:color="auto" w:fill="auto"/>
            <w:vAlign w:val="bottom"/>
          </w:tcPr>
          <w:p w:rsidR="00BB2269" w:rsidRDefault="00BB2269" w:rsidP="00960DF2">
            <w:pPr>
              <w:spacing w:line="0" w:lineRule="atLeast"/>
              <w:rPr>
                <w:rFonts w:eastAsia="Times New Roman"/>
                <w:sz w:val="15"/>
              </w:rPr>
            </w:pPr>
          </w:p>
        </w:tc>
      </w:tr>
      <w:tr w:rsidR="00BB2269" w:rsidTr="00960DF2">
        <w:trPr>
          <w:trHeight w:val="196"/>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7"/>
              </w:rPr>
            </w:pPr>
          </w:p>
        </w:tc>
        <w:tc>
          <w:tcPr>
            <w:tcW w:w="3790" w:type="dxa"/>
            <w:gridSpan w:val="2"/>
            <w:tcBorders>
              <w:right w:val="single" w:sz="8" w:space="0" w:color="auto"/>
            </w:tcBorders>
            <w:shd w:val="clear" w:color="auto" w:fill="auto"/>
            <w:vAlign w:val="bottom"/>
          </w:tcPr>
          <w:p w:rsidR="00BB2269" w:rsidRPr="00E33713" w:rsidRDefault="00BB2269" w:rsidP="00960DF2">
            <w:pPr>
              <w:spacing w:line="0" w:lineRule="atLeast"/>
              <w:ind w:right="59"/>
              <w:jc w:val="right"/>
              <w:rPr>
                <w:color w:val="000000" w:themeColor="text1"/>
                <w:sz w:val="16"/>
              </w:rPr>
            </w:pPr>
            <w:r w:rsidRPr="00E33713">
              <w:rPr>
                <w:color w:val="000000" w:themeColor="text1"/>
                <w:sz w:val="16"/>
              </w:rPr>
              <w:t>&lt;65 years</w:t>
            </w:r>
          </w:p>
        </w:tc>
        <w:tc>
          <w:tcPr>
            <w:tcW w:w="500" w:type="dxa"/>
            <w:shd w:val="clear" w:color="auto" w:fill="auto"/>
            <w:vAlign w:val="bottom"/>
          </w:tcPr>
          <w:p w:rsidR="00BB2269" w:rsidRPr="00E33713" w:rsidRDefault="00982504" w:rsidP="00960DF2">
            <w:pPr>
              <w:spacing w:line="0" w:lineRule="atLeast"/>
              <w:ind w:left="80"/>
              <w:jc w:val="center"/>
              <w:rPr>
                <w:color w:val="000000" w:themeColor="text1"/>
                <w:sz w:val="16"/>
              </w:rPr>
            </w:pPr>
            <w:r>
              <w:rPr>
                <w:color w:val="000000" w:themeColor="text1"/>
                <w:sz w:val="16"/>
              </w:rPr>
              <w:t>39</w:t>
            </w:r>
          </w:p>
        </w:tc>
        <w:tc>
          <w:tcPr>
            <w:tcW w:w="200" w:type="dxa"/>
            <w:tcBorders>
              <w:right w:val="single" w:sz="8"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7"/>
              </w:rPr>
            </w:pPr>
          </w:p>
        </w:tc>
        <w:tc>
          <w:tcPr>
            <w:tcW w:w="1080" w:type="dxa"/>
            <w:tcBorders>
              <w:right w:val="single" w:sz="4" w:space="0" w:color="auto"/>
            </w:tcBorders>
            <w:shd w:val="clear" w:color="auto" w:fill="auto"/>
            <w:vAlign w:val="bottom"/>
          </w:tcPr>
          <w:p w:rsidR="00BB2269" w:rsidRPr="00E33713" w:rsidRDefault="00FD238B" w:rsidP="00FD238B">
            <w:pPr>
              <w:spacing w:line="0" w:lineRule="atLeast"/>
              <w:jc w:val="center"/>
              <w:rPr>
                <w:color w:val="000000" w:themeColor="text1"/>
                <w:w w:val="99"/>
                <w:sz w:val="16"/>
              </w:rPr>
            </w:pPr>
            <w:r>
              <w:rPr>
                <w:color w:val="000000" w:themeColor="text1"/>
                <w:w w:val="99"/>
                <w:sz w:val="16"/>
              </w:rPr>
              <w:t>(36.4</w:t>
            </w:r>
            <w:r w:rsidR="00BB2269" w:rsidRPr="00E33713">
              <w:rPr>
                <w:color w:val="000000" w:themeColor="text1"/>
                <w:w w:val="99"/>
                <w:sz w:val="16"/>
              </w:rPr>
              <w:t>)</w:t>
            </w:r>
          </w:p>
        </w:tc>
        <w:tc>
          <w:tcPr>
            <w:tcW w:w="290" w:type="dxa"/>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7"/>
              </w:rPr>
            </w:pPr>
          </w:p>
        </w:tc>
        <w:tc>
          <w:tcPr>
            <w:tcW w:w="55" w:type="dxa"/>
            <w:shd w:val="clear" w:color="auto" w:fill="auto"/>
            <w:vAlign w:val="bottom"/>
          </w:tcPr>
          <w:p w:rsidR="00BB2269" w:rsidRDefault="00BB2269" w:rsidP="00960DF2">
            <w:pPr>
              <w:spacing w:line="0" w:lineRule="atLeast"/>
              <w:rPr>
                <w:rFonts w:eastAsia="Times New Roman"/>
                <w:sz w:val="17"/>
              </w:rPr>
            </w:pPr>
          </w:p>
        </w:tc>
      </w:tr>
      <w:tr w:rsidR="00BB2269" w:rsidTr="00960DF2">
        <w:trPr>
          <w:trHeight w:val="198"/>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7"/>
              </w:rPr>
            </w:pPr>
          </w:p>
        </w:tc>
        <w:tc>
          <w:tcPr>
            <w:tcW w:w="3790" w:type="dxa"/>
            <w:gridSpan w:val="2"/>
            <w:tcBorders>
              <w:bottom w:val="single" w:sz="8" w:space="0" w:color="auto"/>
              <w:right w:val="single" w:sz="8" w:space="0" w:color="auto"/>
            </w:tcBorders>
            <w:shd w:val="clear" w:color="auto" w:fill="auto"/>
            <w:vAlign w:val="bottom"/>
          </w:tcPr>
          <w:p w:rsidR="00BB2269" w:rsidRPr="00E33713" w:rsidRDefault="00BB2269" w:rsidP="00960DF2">
            <w:pPr>
              <w:spacing w:line="0" w:lineRule="atLeast"/>
              <w:ind w:right="59"/>
              <w:jc w:val="right"/>
              <w:rPr>
                <w:color w:val="000000" w:themeColor="text1"/>
                <w:sz w:val="16"/>
              </w:rPr>
            </w:pPr>
            <w:r w:rsidRPr="00E33713">
              <w:rPr>
                <w:color w:val="000000" w:themeColor="text1"/>
                <w:sz w:val="16"/>
              </w:rPr>
              <w:t>≥65 years</w:t>
            </w:r>
          </w:p>
        </w:tc>
        <w:tc>
          <w:tcPr>
            <w:tcW w:w="500" w:type="dxa"/>
            <w:tcBorders>
              <w:bottom w:val="single" w:sz="8" w:space="0" w:color="auto"/>
            </w:tcBorders>
            <w:shd w:val="clear" w:color="auto" w:fill="auto"/>
            <w:vAlign w:val="bottom"/>
          </w:tcPr>
          <w:p w:rsidR="00BB2269" w:rsidRPr="00E33713" w:rsidRDefault="00982504" w:rsidP="00960DF2">
            <w:pPr>
              <w:spacing w:line="0" w:lineRule="atLeast"/>
              <w:ind w:left="80"/>
              <w:jc w:val="center"/>
              <w:rPr>
                <w:color w:val="000000" w:themeColor="text1"/>
                <w:sz w:val="16"/>
              </w:rPr>
            </w:pPr>
            <w:r>
              <w:rPr>
                <w:color w:val="000000" w:themeColor="text1"/>
                <w:sz w:val="16"/>
              </w:rPr>
              <w:t>68</w:t>
            </w:r>
          </w:p>
        </w:tc>
        <w:tc>
          <w:tcPr>
            <w:tcW w:w="200" w:type="dxa"/>
            <w:tcBorders>
              <w:bottom w:val="single" w:sz="8" w:space="0" w:color="auto"/>
              <w:right w:val="single" w:sz="8"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7"/>
              </w:rPr>
            </w:pPr>
          </w:p>
        </w:tc>
        <w:tc>
          <w:tcPr>
            <w:tcW w:w="1080" w:type="dxa"/>
            <w:tcBorders>
              <w:bottom w:val="single" w:sz="8" w:space="0" w:color="auto"/>
              <w:right w:val="single" w:sz="4" w:space="0" w:color="auto"/>
            </w:tcBorders>
            <w:shd w:val="clear" w:color="auto" w:fill="auto"/>
            <w:vAlign w:val="bottom"/>
          </w:tcPr>
          <w:p w:rsidR="00BB2269" w:rsidRPr="00E33713" w:rsidRDefault="00BB2269" w:rsidP="00FD238B">
            <w:pPr>
              <w:spacing w:line="0" w:lineRule="atLeast"/>
              <w:jc w:val="center"/>
              <w:rPr>
                <w:color w:val="000000" w:themeColor="text1"/>
                <w:w w:val="99"/>
                <w:sz w:val="16"/>
              </w:rPr>
            </w:pPr>
            <w:r w:rsidRPr="00E33713">
              <w:rPr>
                <w:color w:val="000000" w:themeColor="text1"/>
                <w:w w:val="99"/>
                <w:sz w:val="16"/>
              </w:rPr>
              <w:t>(</w:t>
            </w:r>
            <w:r w:rsidR="00FD238B">
              <w:rPr>
                <w:color w:val="000000" w:themeColor="text1"/>
                <w:w w:val="99"/>
                <w:sz w:val="16"/>
              </w:rPr>
              <w:t>63.6</w:t>
            </w:r>
            <w:r w:rsidRPr="00E33713">
              <w:rPr>
                <w:color w:val="000000" w:themeColor="text1"/>
                <w:w w:val="99"/>
                <w:sz w:val="16"/>
              </w:rPr>
              <w:t>)</w:t>
            </w:r>
          </w:p>
        </w:tc>
        <w:tc>
          <w:tcPr>
            <w:tcW w:w="290" w:type="dxa"/>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7"/>
              </w:rPr>
            </w:pPr>
          </w:p>
        </w:tc>
        <w:tc>
          <w:tcPr>
            <w:tcW w:w="55" w:type="dxa"/>
            <w:shd w:val="clear" w:color="auto" w:fill="auto"/>
            <w:vAlign w:val="bottom"/>
          </w:tcPr>
          <w:p w:rsidR="00BB2269" w:rsidRDefault="00BB2269" w:rsidP="00960DF2">
            <w:pPr>
              <w:spacing w:line="0" w:lineRule="atLeast"/>
              <w:rPr>
                <w:rFonts w:eastAsia="Times New Roman"/>
                <w:sz w:val="17"/>
              </w:rPr>
            </w:pPr>
          </w:p>
        </w:tc>
      </w:tr>
      <w:tr w:rsidR="00BB2269" w:rsidTr="00960DF2">
        <w:trPr>
          <w:trHeight w:val="183"/>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5"/>
              </w:rPr>
            </w:pPr>
          </w:p>
        </w:tc>
        <w:tc>
          <w:tcPr>
            <w:tcW w:w="3790" w:type="dxa"/>
            <w:gridSpan w:val="2"/>
            <w:tcBorders>
              <w:bottom w:val="single" w:sz="4" w:space="0" w:color="auto"/>
              <w:right w:val="single" w:sz="8" w:space="0" w:color="auto"/>
            </w:tcBorders>
            <w:shd w:val="clear" w:color="auto" w:fill="auto"/>
            <w:vAlign w:val="bottom"/>
          </w:tcPr>
          <w:p w:rsidR="00BB2269" w:rsidRPr="00E33713" w:rsidRDefault="00BB2269" w:rsidP="00960DF2">
            <w:pPr>
              <w:spacing w:line="183" w:lineRule="exact"/>
              <w:ind w:left="100"/>
              <w:rPr>
                <w:b/>
                <w:color w:val="000000" w:themeColor="text1"/>
                <w:sz w:val="16"/>
              </w:rPr>
            </w:pPr>
            <w:r w:rsidRPr="00E33713">
              <w:rPr>
                <w:b/>
                <w:color w:val="000000" w:themeColor="text1"/>
                <w:sz w:val="16"/>
              </w:rPr>
              <w:t>Type of admission**</w:t>
            </w:r>
          </w:p>
        </w:tc>
        <w:tc>
          <w:tcPr>
            <w:tcW w:w="500" w:type="dxa"/>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200" w:type="dxa"/>
            <w:tcBorders>
              <w:right w:val="single" w:sz="8"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1080" w:type="dxa"/>
            <w:tcBorders>
              <w:righ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290" w:type="dxa"/>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55" w:type="dxa"/>
            <w:shd w:val="clear" w:color="auto" w:fill="auto"/>
            <w:vAlign w:val="bottom"/>
          </w:tcPr>
          <w:p w:rsidR="00BB2269" w:rsidRDefault="00BB2269" w:rsidP="00960DF2">
            <w:pPr>
              <w:spacing w:line="0" w:lineRule="atLeast"/>
              <w:rPr>
                <w:rFonts w:eastAsia="Times New Roman"/>
                <w:sz w:val="15"/>
              </w:rPr>
            </w:pPr>
          </w:p>
        </w:tc>
      </w:tr>
      <w:tr w:rsidR="00BB2269" w:rsidTr="00960DF2">
        <w:trPr>
          <w:trHeight w:val="195"/>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3790" w:type="dxa"/>
            <w:gridSpan w:val="2"/>
            <w:tcBorders>
              <w:top w:val="single" w:sz="4" w:space="0" w:color="auto"/>
              <w:right w:val="single" w:sz="8" w:space="0" w:color="auto"/>
            </w:tcBorders>
            <w:shd w:val="clear" w:color="auto" w:fill="auto"/>
            <w:vAlign w:val="bottom"/>
          </w:tcPr>
          <w:p w:rsidR="00BB2269" w:rsidRPr="00E33713" w:rsidRDefault="00BB2269" w:rsidP="00960DF2">
            <w:pPr>
              <w:spacing w:line="0" w:lineRule="atLeast"/>
              <w:ind w:right="59"/>
              <w:jc w:val="right"/>
              <w:rPr>
                <w:color w:val="000000" w:themeColor="text1"/>
                <w:sz w:val="16"/>
              </w:rPr>
            </w:pPr>
            <w:r w:rsidRPr="00E33713">
              <w:rPr>
                <w:color w:val="000000" w:themeColor="text1"/>
                <w:sz w:val="16"/>
              </w:rPr>
              <w:t>Emergency</w:t>
            </w:r>
          </w:p>
        </w:tc>
        <w:tc>
          <w:tcPr>
            <w:tcW w:w="500" w:type="dxa"/>
            <w:shd w:val="clear" w:color="auto" w:fill="auto"/>
            <w:vAlign w:val="bottom"/>
          </w:tcPr>
          <w:p w:rsidR="00BB2269" w:rsidRPr="00E33713" w:rsidRDefault="00975B1D" w:rsidP="00960DF2">
            <w:pPr>
              <w:spacing w:line="0" w:lineRule="atLeast"/>
              <w:ind w:left="80"/>
              <w:jc w:val="center"/>
              <w:rPr>
                <w:color w:val="000000" w:themeColor="text1"/>
                <w:sz w:val="16"/>
              </w:rPr>
            </w:pPr>
            <w:r>
              <w:rPr>
                <w:color w:val="000000" w:themeColor="text1"/>
                <w:sz w:val="16"/>
              </w:rPr>
              <w:t>47</w:t>
            </w:r>
          </w:p>
        </w:tc>
        <w:tc>
          <w:tcPr>
            <w:tcW w:w="200" w:type="dxa"/>
            <w:tcBorders>
              <w:right w:val="single" w:sz="8"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6"/>
              </w:rPr>
            </w:pPr>
          </w:p>
        </w:tc>
        <w:tc>
          <w:tcPr>
            <w:tcW w:w="1080" w:type="dxa"/>
            <w:tcBorders>
              <w:right w:val="single" w:sz="4" w:space="0" w:color="auto"/>
            </w:tcBorders>
            <w:shd w:val="clear" w:color="auto" w:fill="auto"/>
            <w:vAlign w:val="bottom"/>
          </w:tcPr>
          <w:p w:rsidR="00BB2269" w:rsidRPr="00E33713" w:rsidRDefault="00BB2269" w:rsidP="00960DF2">
            <w:pPr>
              <w:spacing w:line="0" w:lineRule="atLeast"/>
              <w:jc w:val="center"/>
              <w:rPr>
                <w:color w:val="000000" w:themeColor="text1"/>
                <w:w w:val="92"/>
                <w:sz w:val="16"/>
              </w:rPr>
            </w:pPr>
            <w:r w:rsidRPr="00E33713">
              <w:rPr>
                <w:color w:val="000000" w:themeColor="text1"/>
                <w:w w:val="92"/>
                <w:sz w:val="16"/>
              </w:rPr>
              <w:t>(44)</w:t>
            </w:r>
          </w:p>
        </w:tc>
        <w:tc>
          <w:tcPr>
            <w:tcW w:w="290" w:type="dxa"/>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6"/>
              </w:rPr>
            </w:pPr>
          </w:p>
        </w:tc>
        <w:tc>
          <w:tcPr>
            <w:tcW w:w="55" w:type="dxa"/>
            <w:shd w:val="clear" w:color="auto" w:fill="auto"/>
            <w:vAlign w:val="bottom"/>
          </w:tcPr>
          <w:p w:rsidR="00BB2269" w:rsidRDefault="00BB2269" w:rsidP="00960DF2">
            <w:pPr>
              <w:spacing w:line="0" w:lineRule="atLeast"/>
              <w:rPr>
                <w:rFonts w:eastAsia="Times New Roman"/>
                <w:sz w:val="16"/>
              </w:rPr>
            </w:pPr>
          </w:p>
        </w:tc>
      </w:tr>
      <w:tr w:rsidR="00BB2269" w:rsidTr="00960DF2">
        <w:trPr>
          <w:trHeight w:val="199"/>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7"/>
              </w:rPr>
            </w:pPr>
          </w:p>
        </w:tc>
        <w:tc>
          <w:tcPr>
            <w:tcW w:w="3790" w:type="dxa"/>
            <w:gridSpan w:val="2"/>
            <w:tcBorders>
              <w:bottom w:val="single" w:sz="8" w:space="0" w:color="auto"/>
              <w:right w:val="single" w:sz="8" w:space="0" w:color="auto"/>
            </w:tcBorders>
            <w:shd w:val="clear" w:color="auto" w:fill="auto"/>
            <w:vAlign w:val="bottom"/>
          </w:tcPr>
          <w:p w:rsidR="00BB2269" w:rsidRPr="00E33713" w:rsidRDefault="00BB2269" w:rsidP="00960DF2">
            <w:pPr>
              <w:spacing w:line="0" w:lineRule="atLeast"/>
              <w:ind w:right="59"/>
              <w:jc w:val="right"/>
              <w:rPr>
                <w:color w:val="000000" w:themeColor="text1"/>
                <w:sz w:val="16"/>
              </w:rPr>
            </w:pPr>
            <w:r w:rsidRPr="00E33713">
              <w:rPr>
                <w:color w:val="000000" w:themeColor="text1"/>
                <w:sz w:val="16"/>
              </w:rPr>
              <w:t>Scheduled</w:t>
            </w:r>
          </w:p>
        </w:tc>
        <w:tc>
          <w:tcPr>
            <w:tcW w:w="500" w:type="dxa"/>
            <w:tcBorders>
              <w:bottom w:val="single" w:sz="8" w:space="0" w:color="auto"/>
            </w:tcBorders>
            <w:shd w:val="clear" w:color="auto" w:fill="auto"/>
            <w:vAlign w:val="bottom"/>
          </w:tcPr>
          <w:p w:rsidR="00BB2269" w:rsidRPr="00E33713" w:rsidRDefault="00975B1D" w:rsidP="00960DF2">
            <w:pPr>
              <w:spacing w:line="0" w:lineRule="atLeast"/>
              <w:ind w:left="80"/>
              <w:jc w:val="center"/>
              <w:rPr>
                <w:color w:val="000000" w:themeColor="text1"/>
                <w:sz w:val="16"/>
              </w:rPr>
            </w:pPr>
            <w:r>
              <w:rPr>
                <w:color w:val="000000" w:themeColor="text1"/>
                <w:sz w:val="16"/>
              </w:rPr>
              <w:t>60</w:t>
            </w:r>
          </w:p>
        </w:tc>
        <w:tc>
          <w:tcPr>
            <w:tcW w:w="200" w:type="dxa"/>
            <w:tcBorders>
              <w:bottom w:val="single" w:sz="8" w:space="0" w:color="auto"/>
              <w:right w:val="single" w:sz="8"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7"/>
              </w:rPr>
            </w:pPr>
          </w:p>
        </w:tc>
        <w:tc>
          <w:tcPr>
            <w:tcW w:w="1080" w:type="dxa"/>
            <w:tcBorders>
              <w:bottom w:val="single" w:sz="8" w:space="0" w:color="auto"/>
              <w:right w:val="single" w:sz="4" w:space="0" w:color="auto"/>
            </w:tcBorders>
            <w:shd w:val="clear" w:color="auto" w:fill="auto"/>
            <w:vAlign w:val="bottom"/>
          </w:tcPr>
          <w:p w:rsidR="00BB2269" w:rsidRPr="00E33713" w:rsidRDefault="00BB2269" w:rsidP="00960DF2">
            <w:pPr>
              <w:spacing w:line="0" w:lineRule="atLeast"/>
              <w:jc w:val="center"/>
              <w:rPr>
                <w:color w:val="000000" w:themeColor="text1"/>
                <w:w w:val="92"/>
                <w:sz w:val="16"/>
              </w:rPr>
            </w:pPr>
            <w:r w:rsidRPr="00E33713">
              <w:rPr>
                <w:color w:val="000000" w:themeColor="text1"/>
                <w:w w:val="92"/>
                <w:sz w:val="16"/>
              </w:rPr>
              <w:t>(56)</w:t>
            </w:r>
          </w:p>
        </w:tc>
        <w:tc>
          <w:tcPr>
            <w:tcW w:w="290" w:type="dxa"/>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7"/>
              </w:rPr>
            </w:pPr>
          </w:p>
        </w:tc>
        <w:tc>
          <w:tcPr>
            <w:tcW w:w="55" w:type="dxa"/>
            <w:shd w:val="clear" w:color="auto" w:fill="auto"/>
            <w:vAlign w:val="bottom"/>
          </w:tcPr>
          <w:p w:rsidR="00BB2269" w:rsidRDefault="00BB2269" w:rsidP="00960DF2">
            <w:pPr>
              <w:spacing w:line="0" w:lineRule="atLeast"/>
              <w:rPr>
                <w:rFonts w:eastAsia="Times New Roman"/>
                <w:sz w:val="17"/>
              </w:rPr>
            </w:pPr>
          </w:p>
        </w:tc>
      </w:tr>
      <w:tr w:rsidR="00BB2269" w:rsidTr="00960DF2">
        <w:trPr>
          <w:trHeight w:val="185"/>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3790" w:type="dxa"/>
            <w:gridSpan w:val="2"/>
            <w:tcBorders>
              <w:bottom w:val="single" w:sz="8" w:space="0" w:color="auto"/>
              <w:right w:val="single" w:sz="8" w:space="0" w:color="auto"/>
            </w:tcBorders>
            <w:shd w:val="clear" w:color="auto" w:fill="auto"/>
            <w:vAlign w:val="bottom"/>
          </w:tcPr>
          <w:p w:rsidR="00BB2269" w:rsidRPr="00E33713" w:rsidRDefault="00BB2269" w:rsidP="00960DF2">
            <w:pPr>
              <w:spacing w:line="182" w:lineRule="exact"/>
              <w:ind w:left="100"/>
              <w:rPr>
                <w:b/>
                <w:color w:val="000000" w:themeColor="text1"/>
                <w:sz w:val="16"/>
              </w:rPr>
            </w:pPr>
            <w:r w:rsidRPr="00E33713">
              <w:rPr>
                <w:b/>
                <w:color w:val="000000" w:themeColor="text1"/>
                <w:sz w:val="16"/>
              </w:rPr>
              <w:t>Polypharmacy*</w:t>
            </w:r>
          </w:p>
        </w:tc>
        <w:tc>
          <w:tcPr>
            <w:tcW w:w="500" w:type="dxa"/>
            <w:tcBorders>
              <w:bottom w:val="single" w:sz="8" w:space="0" w:color="auto"/>
            </w:tcBorders>
            <w:shd w:val="clear" w:color="auto" w:fill="auto"/>
            <w:vAlign w:val="bottom"/>
          </w:tcPr>
          <w:p w:rsidR="00BB2269" w:rsidRPr="00E33713" w:rsidRDefault="002D52A4" w:rsidP="00975B1D">
            <w:pPr>
              <w:spacing w:line="182" w:lineRule="exact"/>
              <w:ind w:left="80"/>
              <w:rPr>
                <w:color w:val="000000" w:themeColor="text1"/>
                <w:sz w:val="16"/>
              </w:rPr>
            </w:pPr>
            <w:r>
              <w:rPr>
                <w:color w:val="000000" w:themeColor="text1"/>
                <w:sz w:val="16"/>
              </w:rPr>
              <w:t>25</w:t>
            </w:r>
          </w:p>
        </w:tc>
        <w:tc>
          <w:tcPr>
            <w:tcW w:w="200" w:type="dxa"/>
            <w:tcBorders>
              <w:bottom w:val="single" w:sz="8" w:space="0" w:color="auto"/>
              <w:right w:val="single" w:sz="8"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6"/>
              </w:rPr>
            </w:pPr>
          </w:p>
        </w:tc>
        <w:tc>
          <w:tcPr>
            <w:tcW w:w="1080" w:type="dxa"/>
            <w:tcBorders>
              <w:bottom w:val="single" w:sz="8" w:space="0" w:color="auto"/>
              <w:right w:val="single" w:sz="4" w:space="0" w:color="auto"/>
            </w:tcBorders>
            <w:shd w:val="clear" w:color="auto" w:fill="auto"/>
            <w:vAlign w:val="bottom"/>
          </w:tcPr>
          <w:p w:rsidR="00BB2269" w:rsidRPr="00E33713" w:rsidRDefault="002D52A4" w:rsidP="002D52A4">
            <w:pPr>
              <w:spacing w:line="182" w:lineRule="exact"/>
              <w:jc w:val="center"/>
              <w:rPr>
                <w:color w:val="000000" w:themeColor="text1"/>
                <w:w w:val="99"/>
                <w:sz w:val="16"/>
              </w:rPr>
            </w:pPr>
            <w:r>
              <w:rPr>
                <w:color w:val="000000" w:themeColor="text1"/>
                <w:w w:val="99"/>
                <w:sz w:val="16"/>
              </w:rPr>
              <w:t>(23.4</w:t>
            </w:r>
            <w:r w:rsidR="00BB2269" w:rsidRPr="00E33713">
              <w:rPr>
                <w:color w:val="000000" w:themeColor="text1"/>
                <w:w w:val="99"/>
                <w:sz w:val="16"/>
              </w:rPr>
              <w:t>)</w:t>
            </w:r>
          </w:p>
        </w:tc>
        <w:tc>
          <w:tcPr>
            <w:tcW w:w="290" w:type="dxa"/>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6"/>
              </w:rPr>
            </w:pPr>
          </w:p>
        </w:tc>
        <w:tc>
          <w:tcPr>
            <w:tcW w:w="55" w:type="dxa"/>
            <w:shd w:val="clear" w:color="auto" w:fill="auto"/>
            <w:vAlign w:val="bottom"/>
          </w:tcPr>
          <w:p w:rsidR="00BB2269" w:rsidRDefault="00BB2269" w:rsidP="00960DF2">
            <w:pPr>
              <w:spacing w:line="0" w:lineRule="atLeast"/>
              <w:rPr>
                <w:rFonts w:eastAsia="Times New Roman"/>
                <w:sz w:val="16"/>
              </w:rPr>
            </w:pPr>
          </w:p>
        </w:tc>
      </w:tr>
      <w:tr w:rsidR="00BB2269" w:rsidTr="00960DF2">
        <w:trPr>
          <w:trHeight w:val="185"/>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3790" w:type="dxa"/>
            <w:gridSpan w:val="2"/>
            <w:tcBorders>
              <w:bottom w:val="single" w:sz="8" w:space="0" w:color="auto"/>
              <w:right w:val="single" w:sz="8" w:space="0" w:color="auto"/>
            </w:tcBorders>
            <w:shd w:val="clear" w:color="auto" w:fill="auto"/>
            <w:vAlign w:val="bottom"/>
          </w:tcPr>
          <w:p w:rsidR="00BB2269" w:rsidRPr="00E33713" w:rsidRDefault="00D1196F" w:rsidP="00960DF2">
            <w:pPr>
              <w:spacing w:line="182" w:lineRule="exact"/>
              <w:ind w:left="100"/>
              <w:rPr>
                <w:b/>
                <w:color w:val="000000" w:themeColor="text1"/>
                <w:sz w:val="16"/>
              </w:rPr>
            </w:pPr>
            <w:r>
              <w:rPr>
                <w:b/>
                <w:color w:val="000000" w:themeColor="text1"/>
                <w:sz w:val="16"/>
              </w:rPr>
              <w:t xml:space="preserve">Mean </w:t>
            </w:r>
            <w:r w:rsidR="00BB2269" w:rsidRPr="00E33713">
              <w:rPr>
                <w:b/>
                <w:color w:val="000000" w:themeColor="text1"/>
                <w:sz w:val="16"/>
              </w:rPr>
              <w:t>Age*</w:t>
            </w:r>
          </w:p>
        </w:tc>
        <w:tc>
          <w:tcPr>
            <w:tcW w:w="500" w:type="dxa"/>
            <w:tcBorders>
              <w:bottom w:val="single" w:sz="8" w:space="0" w:color="auto"/>
            </w:tcBorders>
            <w:shd w:val="clear" w:color="auto" w:fill="auto"/>
            <w:vAlign w:val="bottom"/>
          </w:tcPr>
          <w:p w:rsidR="00BB2269" w:rsidRPr="00E33713" w:rsidRDefault="00D1196F" w:rsidP="00D1196F">
            <w:pPr>
              <w:spacing w:line="182" w:lineRule="exact"/>
              <w:ind w:left="80"/>
              <w:jc w:val="center"/>
              <w:rPr>
                <w:color w:val="000000" w:themeColor="text1"/>
                <w:sz w:val="16"/>
              </w:rPr>
            </w:pPr>
            <w:r>
              <w:rPr>
                <w:color w:val="000000" w:themeColor="text1"/>
                <w:sz w:val="16"/>
              </w:rPr>
              <w:t>58.5</w:t>
            </w:r>
          </w:p>
        </w:tc>
        <w:tc>
          <w:tcPr>
            <w:tcW w:w="200" w:type="dxa"/>
            <w:tcBorders>
              <w:bottom w:val="single" w:sz="8" w:space="0" w:color="auto"/>
              <w:right w:val="single" w:sz="8"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6"/>
              </w:rPr>
            </w:pPr>
          </w:p>
        </w:tc>
        <w:tc>
          <w:tcPr>
            <w:tcW w:w="1080" w:type="dxa"/>
            <w:tcBorders>
              <w:bottom w:val="single" w:sz="8" w:space="0" w:color="auto"/>
              <w:right w:val="single" w:sz="4" w:space="0" w:color="auto"/>
            </w:tcBorders>
            <w:shd w:val="clear" w:color="auto" w:fill="auto"/>
            <w:vAlign w:val="bottom"/>
          </w:tcPr>
          <w:p w:rsidR="00BB2269" w:rsidRPr="00E33713" w:rsidRDefault="00BB2269" w:rsidP="00960DF2">
            <w:pPr>
              <w:spacing w:line="182" w:lineRule="exact"/>
              <w:jc w:val="center"/>
              <w:rPr>
                <w:color w:val="000000" w:themeColor="text1"/>
                <w:w w:val="99"/>
                <w:sz w:val="16"/>
              </w:rPr>
            </w:pPr>
          </w:p>
        </w:tc>
        <w:tc>
          <w:tcPr>
            <w:tcW w:w="290" w:type="dxa"/>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6"/>
              </w:rPr>
            </w:pPr>
          </w:p>
        </w:tc>
        <w:tc>
          <w:tcPr>
            <w:tcW w:w="55" w:type="dxa"/>
            <w:shd w:val="clear" w:color="auto" w:fill="auto"/>
            <w:vAlign w:val="bottom"/>
          </w:tcPr>
          <w:p w:rsidR="00BB2269" w:rsidRDefault="00BB2269" w:rsidP="00960DF2">
            <w:pPr>
              <w:spacing w:line="0" w:lineRule="atLeast"/>
              <w:rPr>
                <w:rFonts w:eastAsia="Times New Roman"/>
                <w:sz w:val="16"/>
              </w:rPr>
            </w:pPr>
          </w:p>
        </w:tc>
      </w:tr>
      <w:tr w:rsidR="00BB2269" w:rsidTr="00960DF2">
        <w:trPr>
          <w:trHeight w:val="185"/>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3790" w:type="dxa"/>
            <w:gridSpan w:val="2"/>
            <w:tcBorders>
              <w:bottom w:val="single" w:sz="8" w:space="0" w:color="auto"/>
              <w:right w:val="single" w:sz="8" w:space="0" w:color="auto"/>
            </w:tcBorders>
            <w:shd w:val="clear" w:color="auto" w:fill="auto"/>
            <w:vAlign w:val="bottom"/>
          </w:tcPr>
          <w:p w:rsidR="00BB2269" w:rsidRDefault="00BB2269" w:rsidP="00960DF2">
            <w:pPr>
              <w:spacing w:line="182" w:lineRule="exact"/>
              <w:ind w:left="100"/>
              <w:rPr>
                <w:b/>
                <w:sz w:val="16"/>
              </w:rPr>
            </w:pPr>
            <w:r>
              <w:rPr>
                <w:b/>
                <w:sz w:val="16"/>
              </w:rPr>
              <w:t>Number of drugs*                                    male</w:t>
            </w:r>
          </w:p>
          <w:p w:rsidR="00BB2269" w:rsidRDefault="00BB2269" w:rsidP="00960DF2">
            <w:pPr>
              <w:spacing w:line="182" w:lineRule="exact"/>
              <w:ind w:left="100"/>
              <w:rPr>
                <w:b/>
                <w:sz w:val="16"/>
              </w:rPr>
            </w:pPr>
            <w:r>
              <w:rPr>
                <w:b/>
                <w:sz w:val="16"/>
              </w:rPr>
              <w:t xml:space="preserve">                                                                     Female</w:t>
            </w:r>
          </w:p>
        </w:tc>
        <w:tc>
          <w:tcPr>
            <w:tcW w:w="500" w:type="dxa"/>
            <w:tcBorders>
              <w:bottom w:val="single" w:sz="8" w:space="0" w:color="auto"/>
            </w:tcBorders>
            <w:shd w:val="clear" w:color="auto" w:fill="auto"/>
            <w:vAlign w:val="bottom"/>
          </w:tcPr>
          <w:p w:rsidR="00BB2269" w:rsidRDefault="00BB2269" w:rsidP="00960DF2">
            <w:pPr>
              <w:spacing w:line="182" w:lineRule="exact"/>
              <w:ind w:left="80"/>
              <w:rPr>
                <w:sz w:val="16"/>
              </w:rPr>
            </w:pPr>
            <w:r>
              <w:rPr>
                <w:sz w:val="16"/>
              </w:rPr>
              <w:t>3.4</w:t>
            </w:r>
          </w:p>
          <w:p w:rsidR="00BB2269" w:rsidRDefault="00BB2269" w:rsidP="00960DF2">
            <w:pPr>
              <w:spacing w:line="182" w:lineRule="exact"/>
              <w:ind w:left="80"/>
              <w:rPr>
                <w:sz w:val="16"/>
              </w:rPr>
            </w:pPr>
            <w:r>
              <w:rPr>
                <w:sz w:val="16"/>
              </w:rPr>
              <w:t>5.5</w:t>
            </w:r>
          </w:p>
        </w:tc>
        <w:tc>
          <w:tcPr>
            <w:tcW w:w="200" w:type="dxa"/>
            <w:tcBorders>
              <w:bottom w:val="single" w:sz="8" w:space="0" w:color="auto"/>
              <w:right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1080" w:type="dxa"/>
            <w:tcBorders>
              <w:bottom w:val="single" w:sz="8" w:space="0" w:color="auto"/>
              <w:right w:val="single" w:sz="4" w:space="0" w:color="auto"/>
            </w:tcBorders>
            <w:shd w:val="clear" w:color="auto" w:fill="auto"/>
            <w:vAlign w:val="bottom"/>
          </w:tcPr>
          <w:p w:rsidR="00BB2269" w:rsidRDefault="00BB2269" w:rsidP="00960DF2">
            <w:pPr>
              <w:spacing w:line="182" w:lineRule="exact"/>
              <w:jc w:val="center"/>
              <w:rPr>
                <w:w w:val="93"/>
                <w:sz w:val="16"/>
              </w:rPr>
            </w:pPr>
          </w:p>
        </w:tc>
        <w:tc>
          <w:tcPr>
            <w:tcW w:w="290" w:type="dxa"/>
            <w:tcBorders>
              <w:lef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55" w:type="dxa"/>
            <w:shd w:val="clear" w:color="auto" w:fill="auto"/>
            <w:vAlign w:val="bottom"/>
          </w:tcPr>
          <w:p w:rsidR="00BB2269" w:rsidRDefault="00BB2269" w:rsidP="00960DF2">
            <w:pPr>
              <w:spacing w:line="0" w:lineRule="atLeast"/>
              <w:rPr>
                <w:rFonts w:eastAsia="Times New Roman"/>
                <w:sz w:val="16"/>
              </w:rPr>
            </w:pPr>
          </w:p>
        </w:tc>
      </w:tr>
      <w:tr w:rsidR="00BB2269" w:rsidTr="00960DF2">
        <w:trPr>
          <w:trHeight w:val="185"/>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3790" w:type="dxa"/>
            <w:gridSpan w:val="2"/>
            <w:tcBorders>
              <w:bottom w:val="single" w:sz="8" w:space="0" w:color="auto"/>
              <w:right w:val="single" w:sz="8" w:space="0" w:color="auto"/>
            </w:tcBorders>
            <w:shd w:val="clear" w:color="auto" w:fill="auto"/>
            <w:vAlign w:val="bottom"/>
          </w:tcPr>
          <w:p w:rsidR="00BB2269" w:rsidRDefault="00BB2269" w:rsidP="00960DF2">
            <w:pPr>
              <w:spacing w:line="182" w:lineRule="exact"/>
              <w:ind w:left="100"/>
              <w:rPr>
                <w:b/>
                <w:sz w:val="16"/>
              </w:rPr>
            </w:pPr>
            <w:r>
              <w:rPr>
                <w:b/>
                <w:sz w:val="16"/>
              </w:rPr>
              <w:t>Mean age                                                  Male</w:t>
            </w:r>
          </w:p>
          <w:p w:rsidR="00BB2269" w:rsidRDefault="00BB2269" w:rsidP="00960DF2">
            <w:pPr>
              <w:spacing w:line="182" w:lineRule="exact"/>
              <w:ind w:left="100"/>
              <w:rPr>
                <w:b/>
                <w:sz w:val="16"/>
              </w:rPr>
            </w:pPr>
            <w:r>
              <w:rPr>
                <w:b/>
                <w:sz w:val="16"/>
              </w:rPr>
              <w:t xml:space="preserve">                                                                    female</w:t>
            </w:r>
          </w:p>
        </w:tc>
        <w:tc>
          <w:tcPr>
            <w:tcW w:w="500" w:type="dxa"/>
            <w:tcBorders>
              <w:bottom w:val="single" w:sz="8" w:space="0" w:color="auto"/>
            </w:tcBorders>
            <w:shd w:val="clear" w:color="auto" w:fill="auto"/>
            <w:vAlign w:val="bottom"/>
          </w:tcPr>
          <w:p w:rsidR="00BB2269" w:rsidRDefault="000F4137" w:rsidP="00960DF2">
            <w:pPr>
              <w:spacing w:line="182" w:lineRule="exact"/>
              <w:ind w:left="80"/>
              <w:rPr>
                <w:sz w:val="16"/>
              </w:rPr>
            </w:pPr>
            <w:r>
              <w:rPr>
                <w:sz w:val="16"/>
              </w:rPr>
              <w:t>56.8</w:t>
            </w:r>
          </w:p>
          <w:p w:rsidR="00BB2269" w:rsidRDefault="000F4137" w:rsidP="00960DF2">
            <w:pPr>
              <w:spacing w:line="182" w:lineRule="exact"/>
              <w:ind w:left="80"/>
              <w:rPr>
                <w:sz w:val="16"/>
              </w:rPr>
            </w:pPr>
            <w:r>
              <w:rPr>
                <w:sz w:val="16"/>
              </w:rPr>
              <w:t>61.9</w:t>
            </w:r>
          </w:p>
        </w:tc>
        <w:tc>
          <w:tcPr>
            <w:tcW w:w="200" w:type="dxa"/>
            <w:tcBorders>
              <w:bottom w:val="single" w:sz="8" w:space="0" w:color="auto"/>
              <w:right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1080" w:type="dxa"/>
            <w:tcBorders>
              <w:bottom w:val="single" w:sz="8" w:space="0" w:color="auto"/>
              <w:right w:val="single" w:sz="4" w:space="0" w:color="auto"/>
            </w:tcBorders>
            <w:shd w:val="clear" w:color="auto" w:fill="auto"/>
            <w:vAlign w:val="bottom"/>
          </w:tcPr>
          <w:p w:rsidR="00BB2269" w:rsidRDefault="00BB2269" w:rsidP="00960DF2">
            <w:pPr>
              <w:spacing w:line="182" w:lineRule="exact"/>
              <w:jc w:val="center"/>
              <w:rPr>
                <w:w w:val="93"/>
                <w:sz w:val="16"/>
              </w:rPr>
            </w:pPr>
          </w:p>
        </w:tc>
        <w:tc>
          <w:tcPr>
            <w:tcW w:w="290" w:type="dxa"/>
            <w:tcBorders>
              <w:lef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55" w:type="dxa"/>
            <w:shd w:val="clear" w:color="auto" w:fill="auto"/>
            <w:vAlign w:val="bottom"/>
          </w:tcPr>
          <w:p w:rsidR="00BB2269" w:rsidRDefault="00BB2269" w:rsidP="00960DF2">
            <w:pPr>
              <w:spacing w:line="0" w:lineRule="atLeast"/>
              <w:rPr>
                <w:rFonts w:eastAsia="Times New Roman"/>
                <w:sz w:val="16"/>
              </w:rPr>
            </w:pPr>
          </w:p>
        </w:tc>
      </w:tr>
      <w:tr w:rsidR="00BB2269" w:rsidTr="00960DF2">
        <w:trPr>
          <w:trHeight w:val="48"/>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3790" w:type="dxa"/>
            <w:gridSpan w:val="2"/>
            <w:tcBorders>
              <w:top w:val="single" w:sz="4" w:space="0" w:color="auto"/>
              <w:bottom w:val="single" w:sz="8" w:space="0" w:color="auto"/>
            </w:tcBorders>
            <w:shd w:val="clear" w:color="auto" w:fill="auto"/>
            <w:vAlign w:val="bottom"/>
          </w:tcPr>
          <w:p w:rsidR="00BB2269" w:rsidRDefault="00BB2269" w:rsidP="00960DF2">
            <w:pPr>
              <w:spacing w:line="184" w:lineRule="exact"/>
              <w:ind w:left="100"/>
              <w:rPr>
                <w:sz w:val="16"/>
              </w:rPr>
            </w:pPr>
            <w:r>
              <w:rPr>
                <w:sz w:val="16"/>
              </w:rPr>
              <w:t>Statistically significant *p &lt;0.05</w:t>
            </w:r>
          </w:p>
        </w:tc>
        <w:tc>
          <w:tcPr>
            <w:tcW w:w="500" w:type="dxa"/>
            <w:tcBorders>
              <w:bottom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200" w:type="dxa"/>
            <w:tcBorders>
              <w:bottom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1080" w:type="dxa"/>
            <w:tcBorders>
              <w:bottom w:val="single" w:sz="8" w:space="0" w:color="auto"/>
              <w:righ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290" w:type="dxa"/>
            <w:tcBorders>
              <w:lef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55" w:type="dxa"/>
            <w:shd w:val="clear" w:color="auto" w:fill="auto"/>
            <w:vAlign w:val="bottom"/>
          </w:tcPr>
          <w:p w:rsidR="00BB2269" w:rsidRDefault="00BB2269" w:rsidP="00960DF2">
            <w:pPr>
              <w:spacing w:line="0" w:lineRule="atLeast"/>
              <w:rPr>
                <w:rFonts w:eastAsia="Times New Roman"/>
                <w:sz w:val="16"/>
              </w:rPr>
            </w:pPr>
          </w:p>
        </w:tc>
      </w:tr>
      <w:tr w:rsidR="00BB2269" w:rsidTr="00960DF2">
        <w:trPr>
          <w:gridBefore w:val="1"/>
          <w:gridAfter w:val="2"/>
          <w:wBefore w:w="50" w:type="dxa"/>
          <w:wAfter w:w="345" w:type="dxa"/>
          <w:trHeight w:val="342"/>
        </w:trPr>
        <w:tc>
          <w:tcPr>
            <w:tcW w:w="3790" w:type="dxa"/>
            <w:gridSpan w:val="2"/>
            <w:tcBorders>
              <w:top w:val="single" w:sz="4" w:space="0" w:color="auto"/>
              <w:bottom w:val="nil"/>
            </w:tcBorders>
            <w:shd w:val="clear" w:color="auto" w:fill="auto"/>
            <w:vAlign w:val="bottom"/>
          </w:tcPr>
          <w:p w:rsidR="00BB2269" w:rsidRDefault="00BB2269" w:rsidP="00960DF2">
            <w:pPr>
              <w:spacing w:line="0" w:lineRule="atLeast"/>
              <w:rPr>
                <w:rFonts w:eastAsia="Times New Roman"/>
              </w:rPr>
            </w:pPr>
          </w:p>
        </w:tc>
        <w:tc>
          <w:tcPr>
            <w:tcW w:w="500" w:type="dxa"/>
            <w:tcBorders>
              <w:bottom w:val="nil"/>
            </w:tcBorders>
            <w:shd w:val="clear" w:color="auto" w:fill="auto"/>
            <w:vAlign w:val="bottom"/>
          </w:tcPr>
          <w:p w:rsidR="00BB2269" w:rsidRDefault="00BB2269" w:rsidP="00960DF2">
            <w:pPr>
              <w:spacing w:line="0" w:lineRule="atLeast"/>
              <w:rPr>
                <w:rFonts w:eastAsia="Times New Roman"/>
              </w:rPr>
            </w:pPr>
          </w:p>
        </w:tc>
        <w:tc>
          <w:tcPr>
            <w:tcW w:w="1280" w:type="dxa"/>
            <w:gridSpan w:val="2"/>
            <w:tcBorders>
              <w:bottom w:val="nil"/>
            </w:tcBorders>
            <w:shd w:val="clear" w:color="auto" w:fill="auto"/>
            <w:vAlign w:val="bottom"/>
          </w:tcPr>
          <w:p w:rsidR="00BB2269" w:rsidRDefault="00BB2269" w:rsidP="00960DF2">
            <w:pPr>
              <w:spacing w:line="0" w:lineRule="atLeast"/>
              <w:rPr>
                <w:rFonts w:eastAsia="Times New Roman"/>
              </w:rPr>
            </w:pPr>
          </w:p>
        </w:tc>
      </w:tr>
    </w:tbl>
    <w:p w:rsidR="00C21ADA" w:rsidRDefault="00BB2269" w:rsidP="00BB2269">
      <w:pPr>
        <w:spacing w:line="480" w:lineRule="auto"/>
        <w:rPr>
          <w:rFonts w:cs="Times New Roman"/>
          <w:szCs w:val="24"/>
        </w:rPr>
      </w:pPr>
      <w:r>
        <w:rPr>
          <w:rFonts w:cs="Times New Roman"/>
          <w:szCs w:val="24"/>
        </w:rPr>
        <w:br w:type="textWrapping" w:clear="all"/>
      </w:r>
      <w:r w:rsidR="00C21ADA">
        <w:rPr>
          <w:rFonts w:cs="Times New Roman"/>
          <w:szCs w:val="24"/>
        </w:rPr>
        <w:t>The four most prevalent nationalities in the patients included in the study were Indians, Filipino, Qatari, Pakistan, Jordesian, and Egyptian</w:t>
      </w:r>
      <w:r w:rsidR="002A323B">
        <w:rPr>
          <w:rFonts w:cs="Times New Roman"/>
          <w:szCs w:val="24"/>
        </w:rPr>
        <w:t>. The frequency of other nationalities in the study were statistically insignificant. The nationality distribution of the participants is presented in the figure below.</w:t>
      </w:r>
    </w:p>
    <w:p w:rsidR="00E50C9E" w:rsidRDefault="00097C41" w:rsidP="00E50C9E">
      <w:pPr>
        <w:keepNext/>
        <w:spacing w:line="480" w:lineRule="auto"/>
        <w:jc w:val="center"/>
      </w:pPr>
      <w:r>
        <w:rPr>
          <w:rFonts w:cs="Times New Roman"/>
          <w:noProof/>
          <w:szCs w:val="24"/>
        </w:rPr>
        <w:drawing>
          <wp:inline distT="0" distB="0" distL="0" distR="0">
            <wp:extent cx="4795063" cy="2529555"/>
            <wp:effectExtent l="19050" t="0" r="24587" b="409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97C41" w:rsidRPr="00E50C9E" w:rsidRDefault="00E50C9E" w:rsidP="00E50C9E">
      <w:pPr>
        <w:pStyle w:val="Caption"/>
        <w:jc w:val="center"/>
        <w:rPr>
          <w:rFonts w:cs="Times New Roman"/>
          <w:color w:val="auto"/>
          <w:szCs w:val="24"/>
        </w:rPr>
      </w:pPr>
      <w:r w:rsidRPr="00E50C9E">
        <w:rPr>
          <w:color w:val="auto"/>
        </w:rPr>
        <w:t xml:space="preserve">Figure </w:t>
      </w:r>
      <w:r w:rsidR="00492711" w:rsidRPr="00E50C9E">
        <w:rPr>
          <w:color w:val="auto"/>
        </w:rPr>
        <w:fldChar w:fldCharType="begin"/>
      </w:r>
      <w:r w:rsidRPr="00E50C9E">
        <w:rPr>
          <w:color w:val="auto"/>
        </w:rPr>
        <w:instrText xml:space="preserve"> SEQ Figure \* ARABIC </w:instrText>
      </w:r>
      <w:r w:rsidR="00492711" w:rsidRPr="00E50C9E">
        <w:rPr>
          <w:color w:val="auto"/>
        </w:rPr>
        <w:fldChar w:fldCharType="separate"/>
      </w:r>
      <w:r w:rsidR="007658AC">
        <w:rPr>
          <w:noProof/>
          <w:color w:val="auto"/>
        </w:rPr>
        <w:t>1</w:t>
      </w:r>
      <w:r w:rsidR="00492711" w:rsidRPr="00E50C9E">
        <w:rPr>
          <w:color w:val="auto"/>
        </w:rPr>
        <w:fldChar w:fldCharType="end"/>
      </w:r>
      <w:r w:rsidRPr="00E50C9E">
        <w:rPr>
          <w:color w:val="auto"/>
        </w:rPr>
        <w:t>: The prevalent nationalities among the participants</w:t>
      </w:r>
    </w:p>
    <w:p w:rsidR="004940B7" w:rsidRDefault="004940B7" w:rsidP="00BB2269">
      <w:pPr>
        <w:spacing w:line="480" w:lineRule="auto"/>
        <w:rPr>
          <w:rFonts w:cs="Times New Roman"/>
          <w:szCs w:val="24"/>
        </w:rPr>
      </w:pPr>
      <w:r>
        <w:rPr>
          <w:rFonts w:cs="Times New Roman"/>
          <w:szCs w:val="24"/>
        </w:rPr>
        <w:t xml:space="preserve">Each of the </w:t>
      </w:r>
      <w:r w:rsidR="00F13F05">
        <w:rPr>
          <w:rFonts w:cs="Times New Roman"/>
          <w:szCs w:val="24"/>
        </w:rPr>
        <w:t>participants</w:t>
      </w:r>
      <w:r>
        <w:rPr>
          <w:rFonts w:cs="Times New Roman"/>
          <w:szCs w:val="24"/>
        </w:rPr>
        <w:t xml:space="preserve"> had a distinct diagnosis with the most prevalent illnesses being </w:t>
      </w:r>
      <w:r w:rsidR="005B6CA4">
        <w:rPr>
          <w:rFonts w:cs="Times New Roman"/>
          <w:szCs w:val="24"/>
        </w:rPr>
        <w:t>cholecystitis</w:t>
      </w:r>
      <w:r>
        <w:rPr>
          <w:rFonts w:cs="Times New Roman"/>
          <w:szCs w:val="24"/>
        </w:rPr>
        <w:t xml:space="preserve">, foot abscess, appendectomy, calculus cholecystitis, diabetic foot infection, and </w:t>
      </w:r>
      <w:r w:rsidR="005B6CA4">
        <w:rPr>
          <w:rFonts w:cs="Times New Roman"/>
          <w:szCs w:val="24"/>
        </w:rPr>
        <w:t>perforated</w:t>
      </w:r>
      <w:r>
        <w:rPr>
          <w:rFonts w:cs="Times New Roman"/>
          <w:szCs w:val="24"/>
        </w:rPr>
        <w:t xml:space="preserve"> duodenal ulcer.</w:t>
      </w:r>
    </w:p>
    <w:p w:rsidR="007658AC" w:rsidRDefault="00F13F05" w:rsidP="007658AC">
      <w:pPr>
        <w:keepNext/>
        <w:spacing w:line="480" w:lineRule="auto"/>
        <w:jc w:val="center"/>
      </w:pPr>
      <w:r>
        <w:rPr>
          <w:rFonts w:cs="Times New Roman"/>
          <w:noProof/>
          <w:szCs w:val="24"/>
        </w:rPr>
        <w:drawing>
          <wp:inline distT="0" distB="0" distL="0" distR="0">
            <wp:extent cx="5486400" cy="3200400"/>
            <wp:effectExtent l="19050" t="0" r="1905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13F05" w:rsidRPr="007658AC" w:rsidRDefault="007658AC" w:rsidP="007658AC">
      <w:pPr>
        <w:pStyle w:val="Caption"/>
        <w:jc w:val="center"/>
        <w:rPr>
          <w:rFonts w:cs="Times New Roman"/>
          <w:color w:val="auto"/>
          <w:szCs w:val="24"/>
        </w:rPr>
      </w:pPr>
      <w:r w:rsidRPr="007658AC">
        <w:rPr>
          <w:color w:val="auto"/>
        </w:rPr>
        <w:t xml:space="preserve">Figure </w:t>
      </w:r>
      <w:r w:rsidR="00492711" w:rsidRPr="007658AC">
        <w:rPr>
          <w:color w:val="auto"/>
        </w:rPr>
        <w:fldChar w:fldCharType="begin"/>
      </w:r>
      <w:r w:rsidRPr="007658AC">
        <w:rPr>
          <w:color w:val="auto"/>
        </w:rPr>
        <w:instrText xml:space="preserve"> SEQ Figure \* ARABIC </w:instrText>
      </w:r>
      <w:r w:rsidR="00492711" w:rsidRPr="007658AC">
        <w:rPr>
          <w:color w:val="auto"/>
        </w:rPr>
        <w:fldChar w:fldCharType="separate"/>
      </w:r>
      <w:r w:rsidRPr="007658AC">
        <w:rPr>
          <w:noProof/>
          <w:color w:val="auto"/>
        </w:rPr>
        <w:t>2</w:t>
      </w:r>
      <w:r w:rsidR="00492711" w:rsidRPr="007658AC">
        <w:rPr>
          <w:color w:val="auto"/>
        </w:rPr>
        <w:fldChar w:fldCharType="end"/>
      </w:r>
      <w:r w:rsidRPr="007658AC">
        <w:rPr>
          <w:color w:val="auto"/>
        </w:rPr>
        <w:t>: The prevalent complications diagnosed from the participants</w:t>
      </w:r>
    </w:p>
    <w:p w:rsidR="004940B7" w:rsidRDefault="004940B7" w:rsidP="00BB2269">
      <w:pPr>
        <w:spacing w:line="480" w:lineRule="auto"/>
        <w:rPr>
          <w:rFonts w:cs="Times New Roman"/>
          <w:szCs w:val="24"/>
        </w:rPr>
      </w:pPr>
    </w:p>
    <w:p w:rsidR="00BB2269" w:rsidRDefault="000C4584" w:rsidP="00BB2269">
      <w:pPr>
        <w:spacing w:line="480" w:lineRule="auto"/>
        <w:rPr>
          <w:rFonts w:cs="Times New Roman"/>
          <w:szCs w:val="24"/>
        </w:rPr>
      </w:pPr>
      <w:r>
        <w:rPr>
          <w:rFonts w:cs="Times New Roman"/>
          <w:szCs w:val="24"/>
        </w:rPr>
        <w:t>218</w:t>
      </w:r>
      <w:r w:rsidR="00BB2269">
        <w:rPr>
          <w:rFonts w:cs="Times New Roman"/>
          <w:szCs w:val="24"/>
        </w:rPr>
        <w:t xml:space="preserve"> medications were recor</w:t>
      </w:r>
      <w:r w:rsidR="000F2157">
        <w:rPr>
          <w:rFonts w:cs="Times New Roman"/>
          <w:szCs w:val="24"/>
        </w:rPr>
        <w:t>ded in the study with about 106</w:t>
      </w:r>
      <w:r w:rsidR="00BB2269">
        <w:rPr>
          <w:rFonts w:cs="Times New Roman"/>
          <w:szCs w:val="24"/>
        </w:rPr>
        <w:t xml:space="preserve"> di</w:t>
      </w:r>
      <w:r w:rsidR="000F2157">
        <w:rPr>
          <w:rFonts w:cs="Times New Roman"/>
          <w:szCs w:val="24"/>
        </w:rPr>
        <w:t xml:space="preserve">screpancies being observed. </w:t>
      </w:r>
      <w:r w:rsidR="00982DAE">
        <w:rPr>
          <w:rFonts w:cs="Times New Roman"/>
          <w:szCs w:val="24"/>
        </w:rPr>
        <w:t xml:space="preserve">38 </w:t>
      </w:r>
      <w:r w:rsidR="000F2157">
        <w:rPr>
          <w:rFonts w:cs="Times New Roman"/>
          <w:szCs w:val="24"/>
        </w:rPr>
        <w:t>(35</w:t>
      </w:r>
      <w:r w:rsidR="00BB2269">
        <w:rPr>
          <w:rFonts w:cs="Times New Roman"/>
          <w:szCs w:val="24"/>
        </w:rPr>
        <w:t>.</w:t>
      </w:r>
      <w:r w:rsidR="000F2157">
        <w:rPr>
          <w:rFonts w:cs="Times New Roman"/>
          <w:szCs w:val="24"/>
        </w:rPr>
        <w:t>9</w:t>
      </w:r>
      <w:r w:rsidR="00BB2269">
        <w:rPr>
          <w:rFonts w:cs="Times New Roman"/>
          <w:szCs w:val="24"/>
        </w:rPr>
        <w:t>%) of these cases were regarded as</w:t>
      </w:r>
      <w:r>
        <w:rPr>
          <w:rFonts w:cs="Times New Roman"/>
          <w:szCs w:val="24"/>
        </w:rPr>
        <w:t xml:space="preserve"> medication errors affecting 59</w:t>
      </w:r>
      <w:r w:rsidR="00BB2269">
        <w:rPr>
          <w:rFonts w:cs="Times New Roman"/>
          <w:szCs w:val="24"/>
        </w:rPr>
        <w:t xml:space="preserve"> (55%) patients</w:t>
      </w:r>
      <w:r w:rsidR="001708C3">
        <w:rPr>
          <w:rFonts w:cs="Times New Roman"/>
          <w:szCs w:val="24"/>
        </w:rPr>
        <w:t xml:space="preserve"> while the rest were justified discrepancies</w:t>
      </w:r>
      <w:r w:rsidR="00BB2269">
        <w:rPr>
          <w:rFonts w:cs="Times New Roman"/>
          <w:szCs w:val="24"/>
        </w:rPr>
        <w:t xml:space="preserve">. Drug omission was the most prevalent unjustified discrepancy having a prevalence rate of 42 percent. </w:t>
      </w:r>
      <w:r w:rsidR="00BB2269" w:rsidRPr="00356AA9">
        <w:rPr>
          <w:rFonts w:cs="Times New Roman"/>
          <w:szCs w:val="24"/>
        </w:rPr>
        <w:t>Modification of dose,</w:t>
      </w:r>
      <w:r w:rsidR="00040DC1">
        <w:rPr>
          <w:rFonts w:cs="Times New Roman"/>
          <w:szCs w:val="24"/>
        </w:rPr>
        <w:t xml:space="preserve"> </w:t>
      </w:r>
      <w:r w:rsidR="00BB2269" w:rsidRPr="00356AA9">
        <w:rPr>
          <w:rFonts w:cs="Times New Roman"/>
          <w:szCs w:val="24"/>
        </w:rPr>
        <w:t>frequency</w:t>
      </w:r>
      <w:r w:rsidR="00A82CAF">
        <w:rPr>
          <w:rFonts w:cs="Times New Roman"/>
          <w:szCs w:val="24"/>
        </w:rPr>
        <w:t xml:space="preserve">, </w:t>
      </w:r>
      <w:r w:rsidR="00A82CAF" w:rsidRPr="00356AA9">
        <w:rPr>
          <w:rFonts w:cs="Times New Roman"/>
          <w:szCs w:val="24"/>
        </w:rPr>
        <w:t>or</w:t>
      </w:r>
      <w:r w:rsidR="00BB2269" w:rsidRPr="00356AA9">
        <w:rPr>
          <w:rFonts w:cs="Times New Roman"/>
          <w:szCs w:val="24"/>
        </w:rPr>
        <w:t xml:space="preserve"> route</w:t>
      </w:r>
      <w:r w:rsidR="00BB2269">
        <w:rPr>
          <w:rFonts w:cs="Times New Roman"/>
          <w:szCs w:val="24"/>
        </w:rPr>
        <w:t xml:space="preserve"> follows with a prevalence rate of 16 percent. </w:t>
      </w:r>
      <w:r w:rsidR="007B3FB9">
        <w:rPr>
          <w:rFonts w:cs="Times New Roman"/>
          <w:szCs w:val="24"/>
        </w:rPr>
        <w:t xml:space="preserve">The percentage prevalence of the various discrepancies are displayed in figure 2 and 3. </w:t>
      </w:r>
    </w:p>
    <w:tbl>
      <w:tblPr>
        <w:tblW w:w="0" w:type="auto"/>
        <w:tblInd w:w="1640" w:type="dxa"/>
        <w:tblLayout w:type="fixed"/>
        <w:tblCellMar>
          <w:left w:w="0" w:type="dxa"/>
          <w:right w:w="0" w:type="dxa"/>
        </w:tblCellMar>
        <w:tblLook w:val="0000"/>
      </w:tblPr>
      <w:tblGrid>
        <w:gridCol w:w="380"/>
        <w:gridCol w:w="400"/>
        <w:gridCol w:w="560"/>
        <w:gridCol w:w="980"/>
        <w:gridCol w:w="580"/>
        <w:gridCol w:w="340"/>
        <w:gridCol w:w="340"/>
        <w:gridCol w:w="640"/>
        <w:gridCol w:w="940"/>
        <w:gridCol w:w="540"/>
        <w:gridCol w:w="440"/>
        <w:gridCol w:w="360"/>
      </w:tblGrid>
      <w:tr w:rsidR="00BB2269" w:rsidRPr="00DA2D12" w:rsidTr="00960DF2">
        <w:trPr>
          <w:trHeight w:val="287"/>
        </w:trPr>
        <w:tc>
          <w:tcPr>
            <w:tcW w:w="380" w:type="dxa"/>
            <w:shd w:val="clear" w:color="auto" w:fill="auto"/>
            <w:vAlign w:val="bottom"/>
          </w:tcPr>
          <w:p w:rsidR="00BB2269" w:rsidRPr="00DA2D12" w:rsidRDefault="00BB2269" w:rsidP="00960DF2">
            <w:pPr>
              <w:spacing w:after="0" w:line="0" w:lineRule="atLeast"/>
              <w:rPr>
                <w:rFonts w:eastAsia="Times New Roman" w:cs="Arial"/>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Cs w:val="20"/>
              </w:rPr>
            </w:pPr>
          </w:p>
        </w:tc>
        <w:tc>
          <w:tcPr>
            <w:tcW w:w="98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Cs w:val="20"/>
              </w:rPr>
            </w:pPr>
          </w:p>
        </w:tc>
        <w:tc>
          <w:tcPr>
            <w:tcW w:w="1900" w:type="dxa"/>
            <w:gridSpan w:val="4"/>
            <w:tcBorders>
              <w:top w:val="single" w:sz="8" w:space="0" w:color="auto"/>
              <w:right w:val="single" w:sz="8" w:space="0" w:color="auto"/>
            </w:tcBorders>
            <w:shd w:val="clear" w:color="auto" w:fill="auto"/>
            <w:vAlign w:val="bottom"/>
          </w:tcPr>
          <w:p w:rsidR="00BB2269" w:rsidRPr="00DA2D12" w:rsidRDefault="00BB2269" w:rsidP="00960DF2">
            <w:pPr>
              <w:spacing w:after="0" w:line="0" w:lineRule="atLeast"/>
              <w:jc w:val="center"/>
              <w:rPr>
                <w:rFonts w:ascii="Calibri" w:eastAsia="Calibri" w:hAnsi="Calibri" w:cs="Arial"/>
                <w:w w:val="99"/>
                <w:sz w:val="16"/>
                <w:szCs w:val="20"/>
              </w:rPr>
            </w:pPr>
            <w:r w:rsidRPr="00DA2D12">
              <w:rPr>
                <w:rFonts w:ascii="Calibri" w:eastAsia="Calibri" w:hAnsi="Calibri" w:cs="Arial"/>
                <w:w w:val="99"/>
                <w:sz w:val="16"/>
                <w:szCs w:val="20"/>
              </w:rPr>
              <w:t>Total discrepancies</w:t>
            </w:r>
          </w:p>
        </w:tc>
        <w:tc>
          <w:tcPr>
            <w:tcW w:w="940" w:type="dxa"/>
            <w:shd w:val="clear" w:color="auto" w:fill="auto"/>
            <w:vAlign w:val="bottom"/>
          </w:tcPr>
          <w:p w:rsidR="00BB2269" w:rsidRPr="00DA2D12" w:rsidRDefault="00BB2269" w:rsidP="00960DF2">
            <w:pPr>
              <w:spacing w:after="0" w:line="0" w:lineRule="atLeast"/>
              <w:rPr>
                <w:rFonts w:eastAsia="Times New Roman" w:cs="Arial"/>
                <w:szCs w:val="20"/>
              </w:rPr>
            </w:pPr>
          </w:p>
        </w:tc>
        <w:tc>
          <w:tcPr>
            <w:tcW w:w="540" w:type="dxa"/>
            <w:shd w:val="clear" w:color="auto" w:fill="auto"/>
            <w:vAlign w:val="bottom"/>
          </w:tcPr>
          <w:p w:rsidR="00BB2269" w:rsidRPr="00DA2D12" w:rsidRDefault="00BB2269" w:rsidP="00960DF2">
            <w:pPr>
              <w:spacing w:after="0" w:line="0" w:lineRule="atLeast"/>
              <w:rPr>
                <w:rFonts w:eastAsia="Times New Roman" w:cs="Arial"/>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Cs w:val="20"/>
              </w:rPr>
            </w:pPr>
          </w:p>
        </w:tc>
        <w:tc>
          <w:tcPr>
            <w:tcW w:w="360" w:type="dxa"/>
            <w:shd w:val="clear" w:color="auto" w:fill="auto"/>
            <w:vAlign w:val="bottom"/>
          </w:tcPr>
          <w:p w:rsidR="00BB2269" w:rsidRPr="00DA2D12" w:rsidRDefault="00BB2269" w:rsidP="00960DF2">
            <w:pPr>
              <w:spacing w:after="0" w:line="0" w:lineRule="atLeast"/>
              <w:rPr>
                <w:rFonts w:eastAsia="Times New Roman" w:cs="Arial"/>
                <w:szCs w:val="20"/>
              </w:rPr>
            </w:pPr>
          </w:p>
        </w:tc>
      </w:tr>
      <w:tr w:rsidR="00BB2269" w:rsidRPr="00DA2D12" w:rsidTr="00960DF2">
        <w:trPr>
          <w:trHeight w:val="175"/>
        </w:trPr>
        <w:tc>
          <w:tcPr>
            <w:tcW w:w="38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98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1320" w:type="dxa"/>
            <w:gridSpan w:val="3"/>
            <w:tcBorders>
              <w:right w:val="single" w:sz="8" w:space="0" w:color="auto"/>
            </w:tcBorders>
            <w:shd w:val="clear" w:color="auto" w:fill="auto"/>
            <w:vAlign w:val="bottom"/>
          </w:tcPr>
          <w:p w:rsidR="00BB2269" w:rsidRPr="00DA2D12" w:rsidRDefault="00BB2269" w:rsidP="00363DF2">
            <w:pPr>
              <w:spacing w:after="0" w:line="175" w:lineRule="exact"/>
              <w:ind w:right="581"/>
              <w:rPr>
                <w:rFonts w:ascii="Calibri" w:eastAsia="Calibri" w:hAnsi="Calibri" w:cs="Arial"/>
                <w:w w:val="99"/>
                <w:sz w:val="16"/>
                <w:szCs w:val="20"/>
              </w:rPr>
            </w:pPr>
          </w:p>
        </w:tc>
        <w:tc>
          <w:tcPr>
            <w:tcW w:w="94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54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36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r>
      <w:tr w:rsidR="00BB2269" w:rsidRPr="00DA2D12" w:rsidTr="00960DF2">
        <w:trPr>
          <w:trHeight w:val="252"/>
        </w:trPr>
        <w:tc>
          <w:tcPr>
            <w:tcW w:w="3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98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1320" w:type="dxa"/>
            <w:gridSpan w:val="3"/>
            <w:tcBorders>
              <w:right w:val="single" w:sz="8" w:space="0" w:color="auto"/>
            </w:tcBorders>
            <w:shd w:val="clear" w:color="auto" w:fill="auto"/>
            <w:vAlign w:val="bottom"/>
          </w:tcPr>
          <w:p w:rsidR="00BB2269" w:rsidRPr="00DA2D12" w:rsidRDefault="00AA6E66" w:rsidP="00363DF2">
            <w:pPr>
              <w:spacing w:after="0" w:line="0" w:lineRule="atLeast"/>
              <w:ind w:right="561"/>
              <w:rPr>
                <w:rFonts w:ascii="Calibri" w:eastAsia="Calibri" w:hAnsi="Calibri" w:cs="Arial"/>
                <w:w w:val="99"/>
                <w:sz w:val="16"/>
                <w:szCs w:val="20"/>
              </w:rPr>
            </w:pPr>
            <w:r>
              <w:rPr>
                <w:rFonts w:ascii="Calibri" w:eastAsia="Calibri" w:hAnsi="Calibri" w:cs="Arial"/>
                <w:w w:val="99"/>
                <w:sz w:val="16"/>
                <w:szCs w:val="20"/>
              </w:rPr>
              <w:t>(N=106</w:t>
            </w:r>
            <w:r w:rsidR="00BB2269" w:rsidRPr="00DA2D12">
              <w:rPr>
                <w:rFonts w:ascii="Calibri" w:eastAsia="Calibri" w:hAnsi="Calibri" w:cs="Arial"/>
                <w:w w:val="99"/>
                <w:sz w:val="16"/>
                <w:szCs w:val="20"/>
              </w:rPr>
              <w:t>)</w:t>
            </w:r>
          </w:p>
        </w:tc>
        <w:tc>
          <w:tcPr>
            <w:tcW w:w="9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6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r>
      <w:tr w:rsidR="00BB2269" w:rsidRPr="00DA2D12" w:rsidTr="00960DF2">
        <w:trPr>
          <w:trHeight w:val="151"/>
        </w:trPr>
        <w:tc>
          <w:tcPr>
            <w:tcW w:w="38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98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58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3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3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64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94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54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36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r>
      <w:tr w:rsidR="00BB2269" w:rsidRPr="00DA2D12" w:rsidTr="00960DF2">
        <w:trPr>
          <w:trHeight w:val="160"/>
        </w:trPr>
        <w:tc>
          <w:tcPr>
            <w:tcW w:w="38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1560" w:type="dxa"/>
            <w:gridSpan w:val="2"/>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34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3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6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9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54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36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r>
      <w:tr w:rsidR="00BB2269" w:rsidRPr="00DA2D12" w:rsidTr="00960DF2">
        <w:trPr>
          <w:trHeight w:val="180"/>
        </w:trPr>
        <w:tc>
          <w:tcPr>
            <w:tcW w:w="38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40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56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98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94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5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4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36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r>
      <w:tr w:rsidR="00BB2269" w:rsidRPr="00DA2D12" w:rsidTr="00960DF2">
        <w:trPr>
          <w:trHeight w:val="240"/>
        </w:trPr>
        <w:tc>
          <w:tcPr>
            <w:tcW w:w="38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0"/>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20"/>
                <w:szCs w:val="20"/>
              </w:rPr>
            </w:pPr>
          </w:p>
        </w:tc>
        <w:tc>
          <w:tcPr>
            <w:tcW w:w="1540" w:type="dxa"/>
            <w:gridSpan w:val="2"/>
            <w:tcBorders>
              <w:right w:val="single" w:sz="8" w:space="0" w:color="auto"/>
            </w:tcBorders>
            <w:shd w:val="clear" w:color="auto" w:fill="auto"/>
            <w:vAlign w:val="bottom"/>
          </w:tcPr>
          <w:p w:rsidR="00BB2269" w:rsidRPr="00DA2D12" w:rsidRDefault="00BB2269" w:rsidP="00960DF2">
            <w:pPr>
              <w:spacing w:after="0" w:line="0" w:lineRule="atLeast"/>
              <w:ind w:right="361"/>
              <w:jc w:val="center"/>
              <w:rPr>
                <w:rFonts w:ascii="Calibri" w:eastAsia="Calibri" w:hAnsi="Calibri" w:cs="Arial"/>
                <w:sz w:val="16"/>
                <w:szCs w:val="20"/>
              </w:rPr>
            </w:pPr>
            <w:r w:rsidRPr="00DA2D12">
              <w:rPr>
                <w:rFonts w:ascii="Calibri" w:eastAsia="Calibri" w:hAnsi="Calibri" w:cs="Arial"/>
                <w:sz w:val="16"/>
                <w:szCs w:val="20"/>
              </w:rPr>
              <w:t>Justified</w:t>
            </w:r>
          </w:p>
        </w:tc>
        <w:tc>
          <w:tcPr>
            <w:tcW w:w="580" w:type="dxa"/>
            <w:shd w:val="clear" w:color="auto" w:fill="auto"/>
            <w:vAlign w:val="bottom"/>
          </w:tcPr>
          <w:p w:rsidR="00BB2269" w:rsidRPr="00DA2D12" w:rsidRDefault="00BB2269" w:rsidP="00960DF2">
            <w:pPr>
              <w:spacing w:after="0" w:line="0" w:lineRule="atLeast"/>
              <w:rPr>
                <w:rFonts w:eastAsia="Times New Roman" w:cs="Arial"/>
                <w:sz w:val="20"/>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20"/>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20"/>
                <w:szCs w:val="20"/>
              </w:rPr>
            </w:pPr>
          </w:p>
        </w:tc>
        <w:tc>
          <w:tcPr>
            <w:tcW w:w="6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0"/>
                <w:szCs w:val="20"/>
              </w:rPr>
            </w:pPr>
          </w:p>
        </w:tc>
        <w:tc>
          <w:tcPr>
            <w:tcW w:w="1920" w:type="dxa"/>
            <w:gridSpan w:val="3"/>
            <w:tcBorders>
              <w:right w:val="single" w:sz="8" w:space="0" w:color="auto"/>
            </w:tcBorders>
            <w:shd w:val="clear" w:color="auto" w:fill="auto"/>
            <w:vAlign w:val="bottom"/>
          </w:tcPr>
          <w:p w:rsidR="00BB2269" w:rsidRPr="00DA2D12" w:rsidRDefault="00BB2269" w:rsidP="00960DF2">
            <w:pPr>
              <w:spacing w:after="0" w:line="0" w:lineRule="atLeast"/>
              <w:ind w:right="40"/>
              <w:jc w:val="center"/>
              <w:rPr>
                <w:rFonts w:ascii="Calibri" w:eastAsia="Calibri" w:hAnsi="Calibri" w:cs="Arial"/>
                <w:sz w:val="16"/>
                <w:szCs w:val="20"/>
              </w:rPr>
            </w:pPr>
            <w:r w:rsidRPr="00DA2D12">
              <w:rPr>
                <w:rFonts w:ascii="Calibri" w:eastAsia="Calibri" w:hAnsi="Calibri" w:cs="Arial"/>
                <w:sz w:val="16"/>
                <w:szCs w:val="20"/>
              </w:rPr>
              <w:t>Unjustified</w:t>
            </w:r>
          </w:p>
        </w:tc>
        <w:tc>
          <w:tcPr>
            <w:tcW w:w="360" w:type="dxa"/>
            <w:shd w:val="clear" w:color="auto" w:fill="auto"/>
            <w:vAlign w:val="bottom"/>
          </w:tcPr>
          <w:p w:rsidR="00BB2269" w:rsidRPr="00DA2D12" w:rsidRDefault="00BB2269" w:rsidP="00960DF2">
            <w:pPr>
              <w:spacing w:after="0" w:line="0" w:lineRule="atLeast"/>
              <w:rPr>
                <w:rFonts w:eastAsia="Times New Roman" w:cs="Arial"/>
                <w:sz w:val="20"/>
                <w:szCs w:val="20"/>
              </w:rPr>
            </w:pPr>
          </w:p>
        </w:tc>
      </w:tr>
      <w:tr w:rsidR="00BB2269" w:rsidRPr="00DA2D12" w:rsidTr="00960DF2">
        <w:trPr>
          <w:trHeight w:val="179"/>
        </w:trPr>
        <w:tc>
          <w:tcPr>
            <w:tcW w:w="38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1540" w:type="dxa"/>
            <w:gridSpan w:val="2"/>
            <w:vMerge w:val="restart"/>
            <w:tcBorders>
              <w:right w:val="single" w:sz="8" w:space="0" w:color="auto"/>
            </w:tcBorders>
            <w:shd w:val="clear" w:color="auto" w:fill="auto"/>
            <w:vAlign w:val="bottom"/>
          </w:tcPr>
          <w:p w:rsidR="00BB2269" w:rsidRPr="00DA2D12" w:rsidRDefault="00BB2269" w:rsidP="00960DF2">
            <w:pPr>
              <w:spacing w:after="0" w:line="0" w:lineRule="atLeast"/>
              <w:ind w:right="361"/>
              <w:jc w:val="center"/>
              <w:rPr>
                <w:rFonts w:ascii="Calibri" w:eastAsia="Calibri" w:hAnsi="Calibri" w:cs="Arial"/>
                <w:w w:val="97"/>
                <w:sz w:val="16"/>
                <w:szCs w:val="20"/>
              </w:rPr>
            </w:pPr>
            <w:r w:rsidRPr="00DA2D12">
              <w:rPr>
                <w:rFonts w:ascii="Calibri" w:eastAsia="Calibri" w:hAnsi="Calibri" w:cs="Arial"/>
                <w:w w:val="97"/>
                <w:sz w:val="16"/>
                <w:szCs w:val="20"/>
              </w:rPr>
              <w:t>discrepancies</w:t>
            </w:r>
          </w:p>
        </w:tc>
        <w:tc>
          <w:tcPr>
            <w:tcW w:w="58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6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1920" w:type="dxa"/>
            <w:gridSpan w:val="3"/>
            <w:tcBorders>
              <w:right w:val="single" w:sz="8" w:space="0" w:color="auto"/>
            </w:tcBorders>
            <w:shd w:val="clear" w:color="auto" w:fill="auto"/>
            <w:vAlign w:val="bottom"/>
          </w:tcPr>
          <w:p w:rsidR="00BB2269" w:rsidRPr="00DA2D12" w:rsidRDefault="00BB2269" w:rsidP="00960DF2">
            <w:pPr>
              <w:spacing w:after="0" w:line="153" w:lineRule="exact"/>
              <w:ind w:right="40"/>
              <w:jc w:val="center"/>
              <w:rPr>
                <w:rFonts w:ascii="Calibri" w:eastAsia="Calibri" w:hAnsi="Calibri" w:cs="Arial"/>
                <w:sz w:val="16"/>
                <w:szCs w:val="20"/>
              </w:rPr>
            </w:pPr>
            <w:r w:rsidRPr="00DA2D12">
              <w:rPr>
                <w:rFonts w:ascii="Calibri" w:eastAsia="Calibri" w:hAnsi="Calibri" w:cs="Arial"/>
                <w:sz w:val="16"/>
                <w:szCs w:val="20"/>
              </w:rPr>
              <w:t>discrepancies</w:t>
            </w:r>
          </w:p>
        </w:tc>
        <w:tc>
          <w:tcPr>
            <w:tcW w:w="36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r>
      <w:tr w:rsidR="00BB2269" w:rsidRPr="00DA2D12" w:rsidTr="00960DF2">
        <w:trPr>
          <w:trHeight w:val="60"/>
        </w:trPr>
        <w:tc>
          <w:tcPr>
            <w:tcW w:w="380" w:type="dxa"/>
            <w:tcBorders>
              <w:left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1540" w:type="dxa"/>
            <w:gridSpan w:val="2"/>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6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1920" w:type="dxa"/>
            <w:gridSpan w:val="3"/>
            <w:vMerge w:val="restart"/>
            <w:tcBorders>
              <w:right w:val="single" w:sz="8" w:space="0" w:color="auto"/>
            </w:tcBorders>
            <w:shd w:val="clear" w:color="auto" w:fill="auto"/>
            <w:vAlign w:val="bottom"/>
          </w:tcPr>
          <w:p w:rsidR="00BB2269" w:rsidRPr="00DA2D12" w:rsidRDefault="00BB2269" w:rsidP="00960DF2">
            <w:pPr>
              <w:spacing w:after="0" w:line="134" w:lineRule="exact"/>
              <w:ind w:right="40"/>
              <w:jc w:val="center"/>
              <w:rPr>
                <w:rFonts w:ascii="Calibri" w:eastAsia="Calibri" w:hAnsi="Calibri" w:cs="Arial"/>
                <w:sz w:val="14"/>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5"/>
                <w:szCs w:val="20"/>
              </w:rPr>
            </w:pPr>
          </w:p>
        </w:tc>
      </w:tr>
      <w:tr w:rsidR="00BB2269" w:rsidRPr="00DA2D12" w:rsidTr="00960DF2">
        <w:trPr>
          <w:trHeight w:val="73"/>
        </w:trPr>
        <w:tc>
          <w:tcPr>
            <w:tcW w:w="380" w:type="dxa"/>
            <w:tcBorders>
              <w:left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98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6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1920" w:type="dxa"/>
            <w:gridSpan w:val="3"/>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r>
      <w:tr w:rsidR="00BB2269" w:rsidRPr="00DA2D12" w:rsidTr="00960DF2">
        <w:trPr>
          <w:trHeight w:val="178"/>
        </w:trPr>
        <w:tc>
          <w:tcPr>
            <w:tcW w:w="380" w:type="dxa"/>
            <w:tcBorders>
              <w:left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1940" w:type="dxa"/>
            <w:gridSpan w:val="3"/>
            <w:tcBorders>
              <w:right w:val="single" w:sz="8" w:space="0" w:color="auto"/>
            </w:tcBorders>
            <w:shd w:val="clear" w:color="auto" w:fill="auto"/>
            <w:vAlign w:val="bottom"/>
          </w:tcPr>
          <w:p w:rsidR="00BB2269" w:rsidRPr="00DA2D12" w:rsidRDefault="00152E3B" w:rsidP="00152E3B">
            <w:pPr>
              <w:spacing w:after="0" w:line="178" w:lineRule="exact"/>
              <w:jc w:val="center"/>
              <w:rPr>
                <w:rFonts w:ascii="Calibri" w:eastAsia="Calibri" w:hAnsi="Calibri" w:cs="Arial"/>
                <w:sz w:val="16"/>
                <w:szCs w:val="20"/>
              </w:rPr>
            </w:pPr>
            <w:r>
              <w:rPr>
                <w:rFonts w:ascii="Calibri" w:eastAsia="Calibri" w:hAnsi="Calibri" w:cs="Arial"/>
                <w:sz w:val="16"/>
                <w:szCs w:val="20"/>
              </w:rPr>
              <w:t>68 (64.2%</w:t>
            </w:r>
            <w:r w:rsidR="00BB2269" w:rsidRPr="00DA2D12">
              <w:rPr>
                <w:rFonts w:ascii="Calibri" w:eastAsia="Calibri" w:hAnsi="Calibri" w:cs="Arial"/>
                <w:sz w:val="16"/>
                <w:szCs w:val="20"/>
              </w:rPr>
              <w:t>)</w:t>
            </w:r>
          </w:p>
        </w:tc>
        <w:tc>
          <w:tcPr>
            <w:tcW w:w="58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6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1480" w:type="dxa"/>
            <w:gridSpan w:val="2"/>
            <w:vMerge w:val="restart"/>
            <w:shd w:val="clear" w:color="auto" w:fill="auto"/>
            <w:vAlign w:val="bottom"/>
          </w:tcPr>
          <w:p w:rsidR="00BB2269" w:rsidRPr="00DA2D12" w:rsidRDefault="00152E3B" w:rsidP="00152E3B">
            <w:pPr>
              <w:spacing w:after="0" w:line="0" w:lineRule="atLeast"/>
              <w:ind w:left="321"/>
              <w:jc w:val="center"/>
              <w:rPr>
                <w:rFonts w:ascii="Calibri" w:eastAsia="Calibri" w:hAnsi="Calibri" w:cs="Arial"/>
                <w:w w:val="98"/>
                <w:sz w:val="16"/>
                <w:szCs w:val="20"/>
              </w:rPr>
            </w:pPr>
            <w:r>
              <w:rPr>
                <w:rFonts w:ascii="Calibri" w:eastAsia="Calibri" w:hAnsi="Calibri" w:cs="Arial"/>
                <w:w w:val="98"/>
                <w:sz w:val="16"/>
                <w:szCs w:val="20"/>
              </w:rPr>
              <w:t>38 (35.8</w:t>
            </w:r>
            <w:r w:rsidR="00BB2269" w:rsidRPr="00DA2D12">
              <w:rPr>
                <w:rFonts w:ascii="Calibri" w:eastAsia="Calibri" w:hAnsi="Calibri" w:cs="Arial"/>
                <w:w w:val="98"/>
                <w:sz w:val="16"/>
                <w:szCs w:val="20"/>
              </w:rPr>
              <w:t>%)</w:t>
            </w:r>
          </w:p>
        </w:tc>
        <w:tc>
          <w:tcPr>
            <w:tcW w:w="4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r>
      <w:tr w:rsidR="00BB2269" w:rsidRPr="00DA2D12" w:rsidTr="00960DF2">
        <w:trPr>
          <w:trHeight w:val="75"/>
        </w:trPr>
        <w:tc>
          <w:tcPr>
            <w:tcW w:w="380" w:type="dxa"/>
            <w:tcBorders>
              <w:left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0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6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98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6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1480" w:type="dxa"/>
            <w:gridSpan w:val="2"/>
            <w:vMerge/>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r>
      <w:tr w:rsidR="00BB2269" w:rsidRPr="00DA2D12" w:rsidTr="00960DF2">
        <w:trPr>
          <w:trHeight w:val="58"/>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1560" w:type="dxa"/>
            <w:gridSpan w:val="2"/>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6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9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5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44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5"/>
                <w:szCs w:val="20"/>
              </w:rPr>
            </w:pPr>
          </w:p>
        </w:tc>
      </w:tr>
      <w:tr w:rsidR="00BB2269" w:rsidRPr="00DA2D12" w:rsidTr="00960DF2">
        <w:trPr>
          <w:trHeight w:val="169"/>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56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1560" w:type="dxa"/>
            <w:gridSpan w:val="2"/>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1580" w:type="dxa"/>
            <w:gridSpan w:val="2"/>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5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r>
      <w:tr w:rsidR="00BB2269" w:rsidRPr="00DA2D12" w:rsidTr="00960DF2">
        <w:trPr>
          <w:trHeight w:val="247"/>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2120" w:type="dxa"/>
            <w:gridSpan w:val="3"/>
            <w:tcBorders>
              <w:right w:val="single" w:sz="8" w:space="0" w:color="auto"/>
            </w:tcBorders>
            <w:shd w:val="clear" w:color="auto" w:fill="auto"/>
            <w:vAlign w:val="bottom"/>
          </w:tcPr>
          <w:p w:rsidR="00BB2269" w:rsidRPr="00DA2D12" w:rsidRDefault="00BB2269" w:rsidP="00960DF2">
            <w:pPr>
              <w:spacing w:after="0" w:line="0" w:lineRule="atLeast"/>
              <w:jc w:val="center"/>
              <w:rPr>
                <w:rFonts w:ascii="Calibri" w:eastAsia="Calibri" w:hAnsi="Calibri" w:cs="Arial"/>
                <w:sz w:val="16"/>
                <w:szCs w:val="20"/>
              </w:rPr>
            </w:pPr>
            <w:r w:rsidRPr="00DA2D12">
              <w:rPr>
                <w:rFonts w:ascii="Calibri" w:eastAsia="Calibri" w:hAnsi="Calibri" w:cs="Arial"/>
                <w:sz w:val="16"/>
                <w:szCs w:val="20"/>
              </w:rPr>
              <w:t>Therapeutic equivalence</w:t>
            </w:r>
          </w:p>
        </w:tc>
        <w:tc>
          <w:tcPr>
            <w:tcW w:w="3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2120" w:type="dxa"/>
            <w:gridSpan w:val="3"/>
            <w:tcBorders>
              <w:right w:val="single" w:sz="8" w:space="0" w:color="auto"/>
            </w:tcBorders>
            <w:shd w:val="clear" w:color="auto" w:fill="auto"/>
            <w:vAlign w:val="bottom"/>
          </w:tcPr>
          <w:p w:rsidR="00BB2269" w:rsidRPr="00DA2D12" w:rsidRDefault="00BB2269" w:rsidP="00960DF2">
            <w:pPr>
              <w:spacing w:after="0" w:line="0" w:lineRule="atLeast"/>
              <w:ind w:right="40"/>
              <w:jc w:val="center"/>
              <w:rPr>
                <w:rFonts w:ascii="Calibri" w:eastAsia="Calibri" w:hAnsi="Calibri" w:cs="Arial"/>
                <w:w w:val="99"/>
                <w:sz w:val="16"/>
                <w:szCs w:val="20"/>
              </w:rPr>
            </w:pPr>
            <w:r w:rsidRPr="00DA2D12">
              <w:rPr>
                <w:rFonts w:ascii="Calibri" w:eastAsia="Calibri" w:hAnsi="Calibri" w:cs="Arial"/>
                <w:w w:val="99"/>
                <w:sz w:val="16"/>
                <w:szCs w:val="20"/>
              </w:rPr>
              <w:t>Omission error</w:t>
            </w:r>
          </w:p>
        </w:tc>
        <w:tc>
          <w:tcPr>
            <w:tcW w:w="4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r>
      <w:tr w:rsidR="00BB2269" w:rsidRPr="00DA2D12" w:rsidTr="00960DF2">
        <w:trPr>
          <w:trHeight w:val="146"/>
        </w:trPr>
        <w:tc>
          <w:tcPr>
            <w:tcW w:w="380" w:type="dxa"/>
            <w:tcBorders>
              <w:left w:val="single" w:sz="8" w:space="0" w:color="auto"/>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40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560" w:type="dxa"/>
            <w:vMerge w:val="restart"/>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1560" w:type="dxa"/>
            <w:gridSpan w:val="2"/>
            <w:vMerge w:val="restart"/>
            <w:tcBorders>
              <w:right w:val="single" w:sz="8" w:space="0" w:color="auto"/>
            </w:tcBorders>
            <w:shd w:val="clear" w:color="auto" w:fill="auto"/>
            <w:vAlign w:val="bottom"/>
          </w:tcPr>
          <w:p w:rsidR="00BB2269" w:rsidRPr="00DA2D12" w:rsidRDefault="00BB2269" w:rsidP="00960DF2">
            <w:pPr>
              <w:spacing w:after="0" w:line="0" w:lineRule="atLeast"/>
              <w:ind w:right="520"/>
              <w:jc w:val="center"/>
              <w:rPr>
                <w:rFonts w:ascii="Calibri" w:eastAsia="Calibri" w:hAnsi="Calibri" w:cs="Arial"/>
                <w:sz w:val="1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2120" w:type="dxa"/>
            <w:gridSpan w:val="3"/>
            <w:vMerge w:val="restart"/>
            <w:tcBorders>
              <w:right w:val="single" w:sz="8" w:space="0" w:color="auto"/>
            </w:tcBorders>
            <w:shd w:val="clear" w:color="auto" w:fill="auto"/>
            <w:vAlign w:val="bottom"/>
          </w:tcPr>
          <w:p w:rsidR="00BB2269" w:rsidRPr="00DA2D12" w:rsidRDefault="00BB2269" w:rsidP="00960DF2">
            <w:pPr>
              <w:spacing w:after="0" w:line="0" w:lineRule="atLeast"/>
              <w:ind w:right="40"/>
              <w:jc w:val="center"/>
              <w:rPr>
                <w:rFonts w:ascii="Calibri" w:eastAsia="Calibri" w:hAnsi="Calibri" w:cs="Arial"/>
                <w:sz w:val="16"/>
                <w:szCs w:val="20"/>
              </w:rPr>
            </w:pPr>
          </w:p>
        </w:tc>
        <w:tc>
          <w:tcPr>
            <w:tcW w:w="4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6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r>
      <w:tr w:rsidR="00BB2269" w:rsidRPr="00DA2D12" w:rsidTr="00960DF2">
        <w:trPr>
          <w:trHeight w:val="86"/>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560" w:type="dxa"/>
            <w:vMerge/>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1560" w:type="dxa"/>
            <w:gridSpan w:val="2"/>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2120" w:type="dxa"/>
            <w:gridSpan w:val="3"/>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r>
      <w:tr w:rsidR="00BB2269" w:rsidRPr="00DA2D12" w:rsidTr="00960DF2">
        <w:trPr>
          <w:trHeight w:val="252"/>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1560" w:type="dxa"/>
            <w:gridSpan w:val="2"/>
            <w:tcBorders>
              <w:right w:val="single" w:sz="8" w:space="0" w:color="auto"/>
            </w:tcBorders>
            <w:shd w:val="clear" w:color="auto" w:fill="auto"/>
            <w:vAlign w:val="bottom"/>
          </w:tcPr>
          <w:p w:rsidR="00BB2269" w:rsidRPr="00DA2D12" w:rsidRDefault="00927C89" w:rsidP="00960DF2">
            <w:pPr>
              <w:spacing w:after="0" w:line="0" w:lineRule="atLeast"/>
              <w:ind w:right="480"/>
              <w:rPr>
                <w:rFonts w:ascii="Calibri" w:eastAsia="Calibri" w:hAnsi="Calibri" w:cs="Arial"/>
                <w:w w:val="98"/>
                <w:sz w:val="16"/>
                <w:szCs w:val="20"/>
              </w:rPr>
            </w:pPr>
            <w:r>
              <w:rPr>
                <w:rFonts w:ascii="Calibri" w:eastAsia="Calibri" w:hAnsi="Calibri" w:cs="Arial"/>
                <w:w w:val="98"/>
                <w:sz w:val="16"/>
                <w:szCs w:val="20"/>
              </w:rPr>
              <w:t xml:space="preserve">36 </w:t>
            </w:r>
            <w:r w:rsidR="00BB2269" w:rsidRPr="00DA2D12">
              <w:rPr>
                <w:rFonts w:ascii="Calibri" w:eastAsia="Calibri" w:hAnsi="Calibri" w:cs="Arial"/>
                <w:w w:val="98"/>
                <w:sz w:val="16"/>
                <w:szCs w:val="20"/>
              </w:rPr>
              <w:t>(52.2%)</w:t>
            </w:r>
          </w:p>
        </w:tc>
        <w:tc>
          <w:tcPr>
            <w:tcW w:w="3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1480" w:type="dxa"/>
            <w:gridSpan w:val="2"/>
            <w:tcBorders>
              <w:right w:val="single" w:sz="8" w:space="0" w:color="auto"/>
            </w:tcBorders>
            <w:shd w:val="clear" w:color="auto" w:fill="auto"/>
            <w:vAlign w:val="bottom"/>
          </w:tcPr>
          <w:p w:rsidR="00BB2269" w:rsidRPr="00DA2D12" w:rsidRDefault="00210E28" w:rsidP="0089040F">
            <w:pPr>
              <w:spacing w:after="0" w:line="0" w:lineRule="atLeast"/>
              <w:ind w:right="660"/>
              <w:rPr>
                <w:rFonts w:ascii="Calibri" w:eastAsia="Calibri" w:hAnsi="Calibri" w:cs="Arial"/>
                <w:sz w:val="16"/>
                <w:szCs w:val="20"/>
              </w:rPr>
            </w:pPr>
            <w:r>
              <w:rPr>
                <w:rFonts w:ascii="Calibri" w:eastAsia="Calibri" w:hAnsi="Calibri" w:cs="Arial"/>
                <w:sz w:val="16"/>
                <w:szCs w:val="20"/>
              </w:rPr>
              <w:t>16 (</w:t>
            </w:r>
            <w:r w:rsidR="00BB2269" w:rsidRPr="00DA2D12">
              <w:rPr>
                <w:rFonts w:ascii="Calibri" w:eastAsia="Calibri" w:hAnsi="Calibri" w:cs="Arial"/>
                <w:sz w:val="16"/>
                <w:szCs w:val="20"/>
              </w:rPr>
              <w:t>42%)</w:t>
            </w:r>
          </w:p>
        </w:tc>
        <w:tc>
          <w:tcPr>
            <w:tcW w:w="4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r>
      <w:tr w:rsidR="00BB2269" w:rsidRPr="00DA2D12" w:rsidTr="00960DF2">
        <w:trPr>
          <w:trHeight w:val="74"/>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6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1560" w:type="dxa"/>
            <w:gridSpan w:val="2"/>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1580" w:type="dxa"/>
            <w:gridSpan w:val="2"/>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4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r>
      <w:tr w:rsidR="00BB2269" w:rsidRPr="00DA2D12" w:rsidTr="00960DF2">
        <w:trPr>
          <w:trHeight w:val="113"/>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56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1560" w:type="dxa"/>
            <w:gridSpan w:val="2"/>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1580" w:type="dxa"/>
            <w:gridSpan w:val="2"/>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5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r>
      <w:tr w:rsidR="00BB2269" w:rsidRPr="00DA2D12" w:rsidTr="00960DF2">
        <w:trPr>
          <w:trHeight w:val="231"/>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0"/>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0"/>
                <w:szCs w:val="20"/>
              </w:rPr>
            </w:pPr>
          </w:p>
        </w:tc>
        <w:tc>
          <w:tcPr>
            <w:tcW w:w="2120" w:type="dxa"/>
            <w:gridSpan w:val="3"/>
            <w:tcBorders>
              <w:right w:val="single" w:sz="8" w:space="0" w:color="auto"/>
            </w:tcBorders>
            <w:shd w:val="clear" w:color="auto" w:fill="auto"/>
            <w:vAlign w:val="bottom"/>
          </w:tcPr>
          <w:p w:rsidR="00BB2269" w:rsidRPr="00DA2D12" w:rsidRDefault="00BB2269" w:rsidP="00960DF2">
            <w:pPr>
              <w:spacing w:after="0" w:line="0" w:lineRule="atLeast"/>
              <w:jc w:val="center"/>
              <w:rPr>
                <w:rFonts w:ascii="Calibri" w:eastAsia="Calibri" w:hAnsi="Calibri" w:cs="Arial"/>
                <w:w w:val="99"/>
                <w:sz w:val="16"/>
                <w:szCs w:val="20"/>
              </w:rPr>
            </w:pPr>
            <w:r w:rsidRPr="00DA2D12">
              <w:rPr>
                <w:rFonts w:ascii="Calibri" w:eastAsia="Calibri" w:hAnsi="Calibri" w:cs="Arial"/>
                <w:w w:val="99"/>
                <w:sz w:val="16"/>
                <w:szCs w:val="20"/>
              </w:rPr>
              <w:t>Clinical preference</w:t>
            </w:r>
          </w:p>
        </w:tc>
        <w:tc>
          <w:tcPr>
            <w:tcW w:w="340" w:type="dxa"/>
            <w:shd w:val="clear" w:color="auto" w:fill="auto"/>
            <w:vAlign w:val="bottom"/>
          </w:tcPr>
          <w:p w:rsidR="00BB2269" w:rsidRPr="00DA2D12" w:rsidRDefault="00BB2269" w:rsidP="00960DF2">
            <w:pPr>
              <w:spacing w:after="0" w:line="0" w:lineRule="atLeast"/>
              <w:rPr>
                <w:rFonts w:eastAsia="Times New Roman" w:cs="Arial"/>
                <w:sz w:val="20"/>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0"/>
                <w:szCs w:val="20"/>
              </w:rPr>
            </w:pPr>
          </w:p>
        </w:tc>
        <w:tc>
          <w:tcPr>
            <w:tcW w:w="2120" w:type="dxa"/>
            <w:gridSpan w:val="3"/>
            <w:tcBorders>
              <w:right w:val="single" w:sz="8" w:space="0" w:color="auto"/>
            </w:tcBorders>
            <w:shd w:val="clear" w:color="auto" w:fill="auto"/>
            <w:vAlign w:val="bottom"/>
          </w:tcPr>
          <w:p w:rsidR="00BB2269" w:rsidRPr="00DA2D12" w:rsidRDefault="00BB2269" w:rsidP="00960DF2">
            <w:pPr>
              <w:spacing w:after="0" w:line="0" w:lineRule="atLeast"/>
              <w:ind w:right="60"/>
              <w:jc w:val="center"/>
              <w:rPr>
                <w:rFonts w:ascii="Calibri" w:eastAsia="Calibri" w:hAnsi="Calibri" w:cs="Arial"/>
                <w:w w:val="99"/>
                <w:sz w:val="16"/>
                <w:szCs w:val="20"/>
              </w:rPr>
            </w:pPr>
            <w:r w:rsidRPr="00DA2D12">
              <w:rPr>
                <w:rFonts w:ascii="Calibri" w:eastAsia="Calibri" w:hAnsi="Calibri" w:cs="Arial"/>
                <w:w w:val="99"/>
                <w:sz w:val="16"/>
                <w:szCs w:val="20"/>
              </w:rPr>
              <w:t>Modification of dose,</w:t>
            </w:r>
          </w:p>
        </w:tc>
        <w:tc>
          <w:tcPr>
            <w:tcW w:w="440" w:type="dxa"/>
            <w:shd w:val="clear" w:color="auto" w:fill="auto"/>
            <w:vAlign w:val="bottom"/>
          </w:tcPr>
          <w:p w:rsidR="00BB2269" w:rsidRPr="00DA2D12" w:rsidRDefault="00BB2269" w:rsidP="00960DF2">
            <w:pPr>
              <w:spacing w:after="0" w:line="0" w:lineRule="atLeast"/>
              <w:rPr>
                <w:rFonts w:eastAsia="Times New Roman" w:cs="Arial"/>
                <w:sz w:val="20"/>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0"/>
                <w:szCs w:val="20"/>
              </w:rPr>
            </w:pPr>
          </w:p>
        </w:tc>
      </w:tr>
      <w:tr w:rsidR="00BB2269" w:rsidRPr="00DA2D12" w:rsidTr="00960DF2">
        <w:trPr>
          <w:trHeight w:val="141"/>
        </w:trPr>
        <w:tc>
          <w:tcPr>
            <w:tcW w:w="380" w:type="dxa"/>
            <w:tcBorders>
              <w:left w:val="single" w:sz="8" w:space="0" w:color="auto"/>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40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1560" w:type="dxa"/>
            <w:gridSpan w:val="2"/>
            <w:vMerge w:val="restart"/>
            <w:tcBorders>
              <w:right w:val="single" w:sz="8" w:space="0" w:color="auto"/>
            </w:tcBorders>
            <w:shd w:val="clear" w:color="auto" w:fill="auto"/>
            <w:vAlign w:val="bottom"/>
          </w:tcPr>
          <w:p w:rsidR="00BB2269" w:rsidRPr="00DA2D12" w:rsidRDefault="00BB2269" w:rsidP="00960DF2">
            <w:pPr>
              <w:spacing w:after="0" w:line="0" w:lineRule="atLeast"/>
              <w:ind w:right="520"/>
              <w:jc w:val="center"/>
              <w:rPr>
                <w:rFonts w:ascii="Calibri" w:eastAsia="Calibri" w:hAnsi="Calibri" w:cs="Arial"/>
                <w:sz w:val="1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2120" w:type="dxa"/>
            <w:gridSpan w:val="3"/>
            <w:tcBorders>
              <w:right w:val="single" w:sz="8" w:space="0" w:color="auto"/>
            </w:tcBorders>
            <w:shd w:val="clear" w:color="auto" w:fill="auto"/>
            <w:vAlign w:val="bottom"/>
          </w:tcPr>
          <w:p w:rsidR="00BB2269" w:rsidRPr="00DA2D12" w:rsidRDefault="00BB2269" w:rsidP="00960DF2">
            <w:pPr>
              <w:spacing w:after="0" w:line="141" w:lineRule="exact"/>
              <w:ind w:right="60"/>
              <w:jc w:val="center"/>
              <w:rPr>
                <w:rFonts w:ascii="Calibri" w:eastAsia="Calibri" w:hAnsi="Calibri" w:cs="Arial"/>
                <w:sz w:val="15"/>
                <w:szCs w:val="20"/>
              </w:rPr>
            </w:pPr>
            <w:r w:rsidRPr="00DA2D12">
              <w:rPr>
                <w:rFonts w:ascii="Calibri" w:eastAsia="Calibri" w:hAnsi="Calibri" w:cs="Arial"/>
                <w:sz w:val="15"/>
                <w:szCs w:val="20"/>
              </w:rPr>
              <w:t>frequency or route</w:t>
            </w:r>
          </w:p>
        </w:tc>
        <w:tc>
          <w:tcPr>
            <w:tcW w:w="44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r>
      <w:tr w:rsidR="00BB2269" w:rsidRPr="00DA2D12" w:rsidTr="00960DF2">
        <w:trPr>
          <w:trHeight w:val="87"/>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1560" w:type="dxa"/>
            <w:gridSpan w:val="2"/>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2120" w:type="dxa"/>
            <w:gridSpan w:val="3"/>
            <w:vMerge w:val="restart"/>
            <w:tcBorders>
              <w:right w:val="single" w:sz="8" w:space="0" w:color="auto"/>
            </w:tcBorders>
            <w:shd w:val="clear" w:color="auto" w:fill="auto"/>
            <w:vAlign w:val="bottom"/>
          </w:tcPr>
          <w:p w:rsidR="00BB2269" w:rsidRPr="00DA2D12" w:rsidRDefault="00BB2269" w:rsidP="00960DF2">
            <w:pPr>
              <w:spacing w:after="0" w:line="0" w:lineRule="atLeast"/>
              <w:ind w:right="40"/>
              <w:jc w:val="center"/>
              <w:rPr>
                <w:rFonts w:ascii="Calibri" w:eastAsia="Calibri" w:hAnsi="Calibri" w:cs="Arial"/>
                <w:sz w:val="16"/>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r>
      <w:tr w:rsidR="00BB2269" w:rsidRPr="00DA2D12" w:rsidTr="00960DF2">
        <w:trPr>
          <w:trHeight w:val="43"/>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3"/>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3"/>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3"/>
                <w:szCs w:val="20"/>
              </w:rPr>
            </w:pPr>
          </w:p>
        </w:tc>
        <w:tc>
          <w:tcPr>
            <w:tcW w:w="1560" w:type="dxa"/>
            <w:gridSpan w:val="2"/>
            <w:vMerge w:val="restart"/>
            <w:tcBorders>
              <w:right w:val="single" w:sz="8" w:space="0" w:color="auto"/>
            </w:tcBorders>
            <w:shd w:val="clear" w:color="auto" w:fill="auto"/>
            <w:vAlign w:val="bottom"/>
          </w:tcPr>
          <w:p w:rsidR="00BB2269" w:rsidRPr="00DA2D12" w:rsidRDefault="00927C89" w:rsidP="00960DF2">
            <w:pPr>
              <w:spacing w:after="0" w:line="0" w:lineRule="atLeast"/>
              <w:ind w:right="480"/>
              <w:rPr>
                <w:rFonts w:ascii="Calibri" w:eastAsia="Calibri" w:hAnsi="Calibri" w:cs="Arial"/>
                <w:w w:val="98"/>
                <w:sz w:val="16"/>
                <w:szCs w:val="20"/>
              </w:rPr>
            </w:pPr>
            <w:r>
              <w:rPr>
                <w:rFonts w:ascii="Calibri" w:eastAsia="Calibri" w:hAnsi="Calibri" w:cs="Arial"/>
                <w:w w:val="98"/>
                <w:sz w:val="16"/>
                <w:szCs w:val="20"/>
              </w:rPr>
              <w:t xml:space="preserve">7 </w:t>
            </w:r>
            <w:r w:rsidR="00BB2269" w:rsidRPr="00DA2D12">
              <w:rPr>
                <w:rFonts w:ascii="Calibri" w:eastAsia="Calibri" w:hAnsi="Calibri" w:cs="Arial"/>
                <w:w w:val="98"/>
                <w:sz w:val="16"/>
                <w:szCs w:val="20"/>
              </w:rPr>
              <w:t>(10.8%)</w:t>
            </w:r>
          </w:p>
        </w:tc>
        <w:tc>
          <w:tcPr>
            <w:tcW w:w="340" w:type="dxa"/>
            <w:shd w:val="clear" w:color="auto" w:fill="auto"/>
            <w:vAlign w:val="bottom"/>
          </w:tcPr>
          <w:p w:rsidR="00BB2269" w:rsidRPr="00DA2D12" w:rsidRDefault="00BB2269" w:rsidP="00960DF2">
            <w:pPr>
              <w:spacing w:after="0" w:line="0" w:lineRule="atLeast"/>
              <w:rPr>
                <w:rFonts w:eastAsia="Times New Roman" w:cs="Arial"/>
                <w:sz w:val="3"/>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3"/>
                <w:szCs w:val="20"/>
              </w:rPr>
            </w:pPr>
          </w:p>
        </w:tc>
        <w:tc>
          <w:tcPr>
            <w:tcW w:w="2120" w:type="dxa"/>
            <w:gridSpan w:val="3"/>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3"/>
                <w:szCs w:val="20"/>
              </w:rPr>
            </w:pPr>
          </w:p>
        </w:tc>
        <w:tc>
          <w:tcPr>
            <w:tcW w:w="4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3"/>
                <w:szCs w:val="20"/>
              </w:rPr>
            </w:pPr>
          </w:p>
        </w:tc>
        <w:tc>
          <w:tcPr>
            <w:tcW w:w="36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3"/>
                <w:szCs w:val="20"/>
              </w:rPr>
            </w:pPr>
          </w:p>
        </w:tc>
      </w:tr>
      <w:tr w:rsidR="00BB2269" w:rsidRPr="00DA2D12" w:rsidTr="00960DF2">
        <w:trPr>
          <w:trHeight w:val="116"/>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0"/>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0"/>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10"/>
                <w:szCs w:val="20"/>
              </w:rPr>
            </w:pPr>
          </w:p>
        </w:tc>
        <w:tc>
          <w:tcPr>
            <w:tcW w:w="1560" w:type="dxa"/>
            <w:gridSpan w:val="2"/>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0"/>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0"/>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0"/>
                <w:szCs w:val="20"/>
              </w:rPr>
            </w:pPr>
          </w:p>
        </w:tc>
        <w:tc>
          <w:tcPr>
            <w:tcW w:w="2120" w:type="dxa"/>
            <w:gridSpan w:val="3"/>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0"/>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10"/>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0"/>
                <w:szCs w:val="20"/>
              </w:rPr>
            </w:pPr>
          </w:p>
        </w:tc>
      </w:tr>
      <w:tr w:rsidR="00BB2269" w:rsidRPr="00DA2D12" w:rsidTr="00960DF2">
        <w:trPr>
          <w:trHeight w:val="72"/>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1560" w:type="dxa"/>
            <w:gridSpan w:val="2"/>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9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r>
      <w:tr w:rsidR="00BB2269" w:rsidRPr="00DA2D12" w:rsidTr="00960DF2">
        <w:trPr>
          <w:trHeight w:val="75"/>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6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98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8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1480" w:type="dxa"/>
            <w:gridSpan w:val="2"/>
            <w:vMerge w:val="restart"/>
            <w:tcBorders>
              <w:right w:val="single" w:sz="8" w:space="0" w:color="auto"/>
            </w:tcBorders>
            <w:shd w:val="clear" w:color="auto" w:fill="auto"/>
            <w:vAlign w:val="bottom"/>
          </w:tcPr>
          <w:p w:rsidR="00BB2269" w:rsidRPr="00DA2D12" w:rsidRDefault="0089040F" w:rsidP="00960DF2">
            <w:pPr>
              <w:spacing w:after="0" w:line="169" w:lineRule="exact"/>
              <w:ind w:right="660"/>
              <w:rPr>
                <w:rFonts w:ascii="Calibri" w:eastAsia="Calibri" w:hAnsi="Calibri" w:cs="Arial"/>
                <w:sz w:val="16"/>
                <w:szCs w:val="20"/>
              </w:rPr>
            </w:pPr>
            <w:r>
              <w:rPr>
                <w:rFonts w:ascii="Calibri" w:eastAsia="Calibri" w:hAnsi="Calibri" w:cs="Arial"/>
                <w:sz w:val="16"/>
                <w:szCs w:val="20"/>
              </w:rPr>
              <w:t xml:space="preserve">6 </w:t>
            </w:r>
            <w:r w:rsidR="00BB2269" w:rsidRPr="00DA2D12">
              <w:rPr>
                <w:rFonts w:ascii="Calibri" w:eastAsia="Calibri" w:hAnsi="Calibri" w:cs="Arial"/>
                <w:sz w:val="16"/>
                <w:szCs w:val="20"/>
              </w:rPr>
              <w:t>(16%)</w:t>
            </w:r>
          </w:p>
        </w:tc>
        <w:tc>
          <w:tcPr>
            <w:tcW w:w="440" w:type="dxa"/>
            <w:vMerge w:val="restart"/>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r>
      <w:tr w:rsidR="00BB2269" w:rsidRPr="00DA2D12" w:rsidTr="00960DF2">
        <w:trPr>
          <w:trHeight w:val="94"/>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56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98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58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1480" w:type="dxa"/>
            <w:gridSpan w:val="2"/>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440" w:type="dxa"/>
            <w:vMerge/>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8"/>
                <w:szCs w:val="20"/>
              </w:rPr>
            </w:pPr>
          </w:p>
        </w:tc>
      </w:tr>
      <w:tr w:rsidR="00BB2269" w:rsidRPr="00DA2D12" w:rsidTr="00960DF2">
        <w:trPr>
          <w:trHeight w:val="162"/>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560" w:type="dxa"/>
            <w:vMerge w:val="restart"/>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1560" w:type="dxa"/>
            <w:gridSpan w:val="2"/>
            <w:vMerge w:val="restart"/>
            <w:tcBorders>
              <w:right w:val="single" w:sz="8" w:space="0" w:color="auto"/>
            </w:tcBorders>
            <w:shd w:val="clear" w:color="auto" w:fill="auto"/>
            <w:vAlign w:val="bottom"/>
          </w:tcPr>
          <w:p w:rsidR="00BB2269" w:rsidRPr="00DA2D12" w:rsidRDefault="00BB2269" w:rsidP="00960DF2">
            <w:pPr>
              <w:spacing w:after="0" w:line="0" w:lineRule="atLeast"/>
              <w:ind w:right="500"/>
              <w:jc w:val="center"/>
              <w:rPr>
                <w:rFonts w:ascii="Calibri" w:eastAsia="Calibri" w:hAnsi="Calibri" w:cs="Arial"/>
                <w:w w:val="98"/>
                <w:sz w:val="16"/>
                <w:szCs w:val="20"/>
              </w:rPr>
            </w:pPr>
            <w:r w:rsidRPr="00DA2D12">
              <w:rPr>
                <w:rFonts w:ascii="Calibri" w:eastAsia="Calibri" w:hAnsi="Calibri" w:cs="Arial"/>
                <w:w w:val="98"/>
                <w:sz w:val="16"/>
                <w:szCs w:val="20"/>
              </w:rPr>
              <w:t>Medical reason</w:t>
            </w:r>
          </w:p>
        </w:tc>
        <w:tc>
          <w:tcPr>
            <w:tcW w:w="340" w:type="dxa"/>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6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9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54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r>
      <w:tr w:rsidR="00BB2269" w:rsidRPr="00DA2D12" w:rsidTr="00960DF2">
        <w:trPr>
          <w:trHeight w:val="104"/>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560" w:type="dxa"/>
            <w:vMerge/>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1560" w:type="dxa"/>
            <w:gridSpan w:val="2"/>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6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9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5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r>
      <w:tr w:rsidR="00BB2269" w:rsidRPr="00DA2D12" w:rsidTr="00960DF2">
        <w:trPr>
          <w:trHeight w:val="86"/>
        </w:trPr>
        <w:tc>
          <w:tcPr>
            <w:tcW w:w="380" w:type="dxa"/>
            <w:tcBorders>
              <w:left w:val="single" w:sz="8" w:space="0" w:color="auto"/>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40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560" w:type="dxa"/>
            <w:vMerge w:val="restart"/>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1560" w:type="dxa"/>
            <w:gridSpan w:val="2"/>
            <w:vMerge w:val="restart"/>
            <w:tcBorders>
              <w:right w:val="single" w:sz="8" w:space="0" w:color="auto"/>
            </w:tcBorders>
            <w:shd w:val="clear" w:color="auto" w:fill="auto"/>
            <w:vAlign w:val="bottom"/>
          </w:tcPr>
          <w:p w:rsidR="00BB2269" w:rsidRPr="00DA2D12" w:rsidRDefault="00BB2269" w:rsidP="00960DF2">
            <w:pPr>
              <w:spacing w:after="0" w:line="193" w:lineRule="exact"/>
              <w:ind w:right="520"/>
              <w:jc w:val="center"/>
              <w:rPr>
                <w:rFonts w:ascii="Calibri" w:eastAsia="Calibri" w:hAnsi="Calibri" w:cs="Arial"/>
                <w:sz w:val="1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2120" w:type="dxa"/>
            <w:gridSpan w:val="3"/>
            <w:vMerge w:val="restart"/>
            <w:tcBorders>
              <w:right w:val="single" w:sz="8" w:space="0" w:color="auto"/>
            </w:tcBorders>
            <w:shd w:val="clear" w:color="auto" w:fill="auto"/>
            <w:vAlign w:val="bottom"/>
          </w:tcPr>
          <w:p w:rsidR="00BB2269" w:rsidRPr="00DA2D12" w:rsidRDefault="00BB2269" w:rsidP="00960DF2">
            <w:pPr>
              <w:spacing w:after="0" w:line="0" w:lineRule="atLeast"/>
              <w:ind w:right="40"/>
              <w:jc w:val="center"/>
              <w:rPr>
                <w:rFonts w:ascii="Calibri" w:eastAsia="Calibri" w:hAnsi="Calibri" w:cs="Arial"/>
                <w:w w:val="99"/>
                <w:sz w:val="16"/>
                <w:szCs w:val="20"/>
              </w:rPr>
            </w:pPr>
            <w:r w:rsidRPr="00DA2D12">
              <w:rPr>
                <w:rFonts w:ascii="Calibri" w:eastAsia="Calibri" w:hAnsi="Calibri" w:cs="Arial"/>
                <w:w w:val="99"/>
                <w:sz w:val="16"/>
                <w:szCs w:val="20"/>
              </w:rPr>
              <w:t>Incorrect drug</w:t>
            </w:r>
          </w:p>
        </w:tc>
        <w:tc>
          <w:tcPr>
            <w:tcW w:w="4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r>
      <w:tr w:rsidR="00BB2269" w:rsidRPr="00DA2D12" w:rsidTr="00960DF2">
        <w:trPr>
          <w:trHeight w:val="87"/>
        </w:trPr>
        <w:tc>
          <w:tcPr>
            <w:tcW w:w="38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560" w:type="dxa"/>
            <w:vMerge/>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1560" w:type="dxa"/>
            <w:gridSpan w:val="2"/>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2120" w:type="dxa"/>
            <w:gridSpan w:val="3"/>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r>
      <w:tr w:rsidR="00BB2269" w:rsidRPr="00DA2D12" w:rsidTr="00960DF2">
        <w:trPr>
          <w:trHeight w:val="54"/>
        </w:trPr>
        <w:tc>
          <w:tcPr>
            <w:tcW w:w="380" w:type="dxa"/>
            <w:shd w:val="clear" w:color="auto" w:fill="auto"/>
            <w:vAlign w:val="bottom"/>
          </w:tcPr>
          <w:p w:rsidR="00BB2269" w:rsidRPr="00DA2D12" w:rsidRDefault="00BB2269" w:rsidP="00960DF2">
            <w:pPr>
              <w:spacing w:after="0" w:line="0" w:lineRule="atLeast"/>
              <w:rPr>
                <w:rFonts w:eastAsia="Times New Roman" w:cs="Arial"/>
                <w:sz w:val="4"/>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4"/>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4"/>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4"/>
                <w:szCs w:val="20"/>
              </w:rPr>
            </w:pPr>
          </w:p>
        </w:tc>
        <w:tc>
          <w:tcPr>
            <w:tcW w:w="58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4"/>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4"/>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4"/>
                <w:szCs w:val="20"/>
              </w:rPr>
            </w:pPr>
          </w:p>
        </w:tc>
        <w:tc>
          <w:tcPr>
            <w:tcW w:w="2120" w:type="dxa"/>
            <w:gridSpan w:val="3"/>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4"/>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4"/>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4"/>
                <w:szCs w:val="20"/>
              </w:rPr>
            </w:pPr>
          </w:p>
        </w:tc>
      </w:tr>
      <w:tr w:rsidR="00BB2269" w:rsidRPr="00DA2D12" w:rsidTr="00960DF2">
        <w:trPr>
          <w:trHeight w:val="146"/>
        </w:trPr>
        <w:tc>
          <w:tcPr>
            <w:tcW w:w="38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1560" w:type="dxa"/>
            <w:gridSpan w:val="2"/>
            <w:tcBorders>
              <w:right w:val="single" w:sz="8" w:space="0" w:color="auto"/>
            </w:tcBorders>
            <w:shd w:val="clear" w:color="auto" w:fill="auto"/>
            <w:vAlign w:val="bottom"/>
          </w:tcPr>
          <w:p w:rsidR="00BB2269" w:rsidRPr="00DA2D12" w:rsidRDefault="00927C89" w:rsidP="00960DF2">
            <w:pPr>
              <w:spacing w:after="0" w:line="146" w:lineRule="exact"/>
              <w:ind w:right="520"/>
              <w:rPr>
                <w:rFonts w:ascii="Calibri" w:eastAsia="Calibri" w:hAnsi="Calibri" w:cs="Arial"/>
                <w:sz w:val="15"/>
                <w:szCs w:val="20"/>
              </w:rPr>
            </w:pPr>
            <w:r>
              <w:rPr>
                <w:rFonts w:ascii="Calibri" w:eastAsia="Calibri" w:hAnsi="Calibri" w:cs="Arial"/>
                <w:sz w:val="15"/>
                <w:szCs w:val="20"/>
              </w:rPr>
              <w:t>25</w:t>
            </w:r>
            <w:r w:rsidR="00E55377">
              <w:rPr>
                <w:rFonts w:ascii="Calibri" w:eastAsia="Calibri" w:hAnsi="Calibri" w:cs="Arial"/>
                <w:sz w:val="15"/>
                <w:szCs w:val="20"/>
              </w:rPr>
              <w:t xml:space="preserve"> </w:t>
            </w:r>
            <w:r w:rsidR="00BB2269" w:rsidRPr="00DA2D12">
              <w:rPr>
                <w:rFonts w:ascii="Calibri" w:eastAsia="Calibri" w:hAnsi="Calibri" w:cs="Arial"/>
                <w:sz w:val="15"/>
                <w:szCs w:val="20"/>
              </w:rPr>
              <w:t>(37%)</w:t>
            </w:r>
          </w:p>
        </w:tc>
        <w:tc>
          <w:tcPr>
            <w:tcW w:w="34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1480" w:type="dxa"/>
            <w:gridSpan w:val="2"/>
            <w:vMerge w:val="restart"/>
            <w:tcBorders>
              <w:right w:val="single" w:sz="8" w:space="0" w:color="auto"/>
            </w:tcBorders>
            <w:shd w:val="clear" w:color="auto" w:fill="auto"/>
            <w:vAlign w:val="bottom"/>
          </w:tcPr>
          <w:p w:rsidR="00BB2269" w:rsidRPr="00DA2D12" w:rsidRDefault="00BB2269" w:rsidP="00960DF2">
            <w:pPr>
              <w:spacing w:after="0" w:line="0" w:lineRule="atLeast"/>
              <w:ind w:right="680"/>
              <w:rPr>
                <w:rFonts w:ascii="Calibri" w:eastAsia="Calibri" w:hAnsi="Calibri" w:cs="Arial"/>
                <w:sz w:val="16"/>
                <w:szCs w:val="20"/>
              </w:rPr>
            </w:pPr>
          </w:p>
        </w:tc>
        <w:tc>
          <w:tcPr>
            <w:tcW w:w="4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6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r>
      <w:tr w:rsidR="00BB2269" w:rsidRPr="00DA2D12" w:rsidTr="00960DF2">
        <w:trPr>
          <w:trHeight w:val="106"/>
        </w:trPr>
        <w:tc>
          <w:tcPr>
            <w:tcW w:w="380" w:type="dxa"/>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56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98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58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1480" w:type="dxa"/>
            <w:gridSpan w:val="2"/>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r>
      <w:tr w:rsidR="00BB2269" w:rsidRPr="00DA2D12" w:rsidTr="00960DF2">
        <w:trPr>
          <w:trHeight w:val="212"/>
        </w:trPr>
        <w:tc>
          <w:tcPr>
            <w:tcW w:w="380" w:type="dxa"/>
            <w:shd w:val="clear" w:color="auto" w:fill="auto"/>
            <w:vAlign w:val="bottom"/>
          </w:tcPr>
          <w:p w:rsidR="00BB2269" w:rsidRPr="00DA2D12" w:rsidRDefault="00BB2269" w:rsidP="00960DF2">
            <w:pPr>
              <w:spacing w:after="0" w:line="0" w:lineRule="atLeast"/>
              <w:rPr>
                <w:rFonts w:eastAsia="Times New Roman" w:cs="Arial"/>
                <w:sz w:val="18"/>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18"/>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18"/>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18"/>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18"/>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8"/>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8"/>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18"/>
                <w:szCs w:val="20"/>
              </w:rPr>
            </w:pPr>
          </w:p>
        </w:tc>
        <w:tc>
          <w:tcPr>
            <w:tcW w:w="1480" w:type="dxa"/>
            <w:gridSpan w:val="2"/>
            <w:tcBorders>
              <w:right w:val="single" w:sz="8" w:space="0" w:color="auto"/>
            </w:tcBorders>
            <w:shd w:val="clear" w:color="auto" w:fill="auto"/>
            <w:vAlign w:val="bottom"/>
          </w:tcPr>
          <w:p w:rsidR="00BB2269" w:rsidRPr="00DA2D12" w:rsidRDefault="0089040F" w:rsidP="00960DF2">
            <w:pPr>
              <w:spacing w:after="0" w:line="0" w:lineRule="atLeast"/>
              <w:ind w:right="660"/>
              <w:rPr>
                <w:rFonts w:ascii="Calibri" w:eastAsia="Calibri" w:hAnsi="Calibri" w:cs="Arial"/>
                <w:sz w:val="16"/>
                <w:szCs w:val="20"/>
              </w:rPr>
            </w:pPr>
            <w:r>
              <w:rPr>
                <w:rFonts w:ascii="Calibri" w:eastAsia="Calibri" w:hAnsi="Calibri" w:cs="Arial"/>
                <w:sz w:val="16"/>
                <w:szCs w:val="20"/>
              </w:rPr>
              <w:t xml:space="preserve">4 </w:t>
            </w:r>
            <w:r w:rsidR="00BB2269" w:rsidRPr="00DA2D12">
              <w:rPr>
                <w:rFonts w:ascii="Calibri" w:eastAsia="Calibri" w:hAnsi="Calibri" w:cs="Arial"/>
                <w:sz w:val="16"/>
                <w:szCs w:val="20"/>
              </w:rPr>
              <w:t>(9.5%)</w:t>
            </w:r>
          </w:p>
        </w:tc>
        <w:tc>
          <w:tcPr>
            <w:tcW w:w="440" w:type="dxa"/>
            <w:shd w:val="clear" w:color="auto" w:fill="auto"/>
            <w:vAlign w:val="bottom"/>
          </w:tcPr>
          <w:p w:rsidR="00BB2269" w:rsidRPr="00DA2D12" w:rsidRDefault="00BB2269" w:rsidP="00960DF2">
            <w:pPr>
              <w:spacing w:after="0" w:line="0" w:lineRule="atLeast"/>
              <w:rPr>
                <w:rFonts w:eastAsia="Times New Roman" w:cs="Arial"/>
                <w:sz w:val="18"/>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8"/>
                <w:szCs w:val="20"/>
              </w:rPr>
            </w:pPr>
          </w:p>
        </w:tc>
      </w:tr>
      <w:tr w:rsidR="00BB2269" w:rsidRPr="00DA2D12" w:rsidTr="00960DF2">
        <w:trPr>
          <w:trHeight w:val="74"/>
        </w:trPr>
        <w:tc>
          <w:tcPr>
            <w:tcW w:w="38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1580" w:type="dxa"/>
            <w:gridSpan w:val="2"/>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4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r>
      <w:tr w:rsidR="00BB2269" w:rsidRPr="00DA2D12" w:rsidTr="00960DF2">
        <w:trPr>
          <w:trHeight w:val="95"/>
        </w:trPr>
        <w:tc>
          <w:tcPr>
            <w:tcW w:w="38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1580" w:type="dxa"/>
            <w:gridSpan w:val="2"/>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980" w:type="dxa"/>
            <w:gridSpan w:val="2"/>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8"/>
                <w:szCs w:val="20"/>
              </w:rPr>
            </w:pPr>
          </w:p>
        </w:tc>
      </w:tr>
      <w:tr w:rsidR="00BB2269" w:rsidRPr="00DA2D12" w:rsidTr="00960DF2">
        <w:trPr>
          <w:trHeight w:val="247"/>
        </w:trPr>
        <w:tc>
          <w:tcPr>
            <w:tcW w:w="3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2120" w:type="dxa"/>
            <w:gridSpan w:val="3"/>
            <w:tcBorders>
              <w:top w:val="single" w:sz="8" w:space="0" w:color="auto"/>
              <w:right w:val="single" w:sz="8" w:space="0" w:color="auto"/>
            </w:tcBorders>
            <w:shd w:val="clear" w:color="auto" w:fill="auto"/>
            <w:vAlign w:val="bottom"/>
          </w:tcPr>
          <w:p w:rsidR="00BB2269" w:rsidRPr="00DA2D12" w:rsidRDefault="00BB2269" w:rsidP="00960DF2">
            <w:pPr>
              <w:spacing w:after="0" w:line="0" w:lineRule="atLeast"/>
              <w:ind w:right="60"/>
              <w:jc w:val="center"/>
              <w:rPr>
                <w:rFonts w:ascii="Calibri" w:eastAsia="Calibri" w:hAnsi="Calibri" w:cs="Arial"/>
                <w:w w:val="99"/>
                <w:sz w:val="16"/>
                <w:szCs w:val="20"/>
              </w:rPr>
            </w:pPr>
            <w:r w:rsidRPr="00DA2D12">
              <w:rPr>
                <w:rFonts w:ascii="Calibri" w:eastAsia="Calibri" w:hAnsi="Calibri" w:cs="Arial"/>
                <w:w w:val="99"/>
                <w:sz w:val="16"/>
                <w:szCs w:val="20"/>
              </w:rPr>
              <w:t>Therapeutic duplication</w:t>
            </w:r>
          </w:p>
        </w:tc>
        <w:tc>
          <w:tcPr>
            <w:tcW w:w="4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r>
      <w:tr w:rsidR="00BB2269" w:rsidRPr="00DA2D12" w:rsidTr="00960DF2">
        <w:trPr>
          <w:trHeight w:val="146"/>
        </w:trPr>
        <w:tc>
          <w:tcPr>
            <w:tcW w:w="38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1480" w:type="dxa"/>
            <w:gridSpan w:val="2"/>
            <w:vMerge w:val="restart"/>
            <w:tcBorders>
              <w:right w:val="single" w:sz="8" w:space="0" w:color="auto"/>
            </w:tcBorders>
            <w:shd w:val="clear" w:color="auto" w:fill="auto"/>
            <w:vAlign w:val="bottom"/>
          </w:tcPr>
          <w:p w:rsidR="00BB2269" w:rsidRPr="00DA2D12" w:rsidRDefault="00BB2269" w:rsidP="00960DF2">
            <w:pPr>
              <w:spacing w:after="0" w:line="0" w:lineRule="atLeast"/>
              <w:ind w:right="660"/>
              <w:jc w:val="center"/>
              <w:rPr>
                <w:rFonts w:ascii="Calibri" w:eastAsia="Calibri" w:hAnsi="Calibri" w:cs="Arial"/>
                <w:w w:val="97"/>
                <w:sz w:val="16"/>
                <w:szCs w:val="20"/>
              </w:rPr>
            </w:pPr>
          </w:p>
        </w:tc>
        <w:tc>
          <w:tcPr>
            <w:tcW w:w="4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6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r>
      <w:tr w:rsidR="00BB2269" w:rsidRPr="00DA2D12" w:rsidTr="00960DF2">
        <w:trPr>
          <w:trHeight w:val="86"/>
        </w:trPr>
        <w:tc>
          <w:tcPr>
            <w:tcW w:w="38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1480" w:type="dxa"/>
            <w:gridSpan w:val="2"/>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r>
      <w:tr w:rsidR="00BB2269" w:rsidRPr="00DA2D12" w:rsidTr="00960DF2">
        <w:trPr>
          <w:trHeight w:val="252"/>
        </w:trPr>
        <w:tc>
          <w:tcPr>
            <w:tcW w:w="3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1480" w:type="dxa"/>
            <w:gridSpan w:val="2"/>
            <w:tcBorders>
              <w:right w:val="single" w:sz="8" w:space="0" w:color="auto"/>
            </w:tcBorders>
            <w:shd w:val="clear" w:color="auto" w:fill="auto"/>
            <w:vAlign w:val="bottom"/>
          </w:tcPr>
          <w:p w:rsidR="00BB2269" w:rsidRPr="00DA2D12" w:rsidRDefault="0089040F" w:rsidP="00960DF2">
            <w:pPr>
              <w:spacing w:after="0" w:line="0" w:lineRule="atLeast"/>
              <w:ind w:right="660"/>
              <w:jc w:val="center"/>
              <w:rPr>
                <w:rFonts w:ascii="Calibri" w:eastAsia="Calibri" w:hAnsi="Calibri" w:cs="Arial"/>
                <w:sz w:val="16"/>
                <w:szCs w:val="20"/>
              </w:rPr>
            </w:pPr>
            <w:r>
              <w:rPr>
                <w:rFonts w:ascii="Calibri" w:eastAsia="Calibri" w:hAnsi="Calibri" w:cs="Arial"/>
                <w:sz w:val="16"/>
                <w:szCs w:val="20"/>
              </w:rPr>
              <w:t xml:space="preserve">5 </w:t>
            </w:r>
            <w:r w:rsidR="00BB2269" w:rsidRPr="00DA2D12">
              <w:rPr>
                <w:rFonts w:ascii="Calibri" w:eastAsia="Calibri" w:hAnsi="Calibri" w:cs="Arial"/>
                <w:sz w:val="16"/>
                <w:szCs w:val="20"/>
              </w:rPr>
              <w:t>(11.5%)</w:t>
            </w:r>
          </w:p>
        </w:tc>
        <w:tc>
          <w:tcPr>
            <w:tcW w:w="4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r>
      <w:tr w:rsidR="00BB2269" w:rsidRPr="00DA2D12" w:rsidTr="00960DF2">
        <w:trPr>
          <w:trHeight w:val="74"/>
        </w:trPr>
        <w:tc>
          <w:tcPr>
            <w:tcW w:w="38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1580" w:type="dxa"/>
            <w:gridSpan w:val="2"/>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4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r>
      <w:tr w:rsidR="00BB2269" w:rsidRPr="00DA2D12" w:rsidTr="00960DF2">
        <w:trPr>
          <w:trHeight w:val="95"/>
        </w:trPr>
        <w:tc>
          <w:tcPr>
            <w:tcW w:w="38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1580" w:type="dxa"/>
            <w:gridSpan w:val="2"/>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980" w:type="dxa"/>
            <w:gridSpan w:val="2"/>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8"/>
                <w:szCs w:val="20"/>
              </w:rPr>
            </w:pPr>
          </w:p>
        </w:tc>
      </w:tr>
      <w:tr w:rsidR="00BB2269" w:rsidRPr="00DA2D12" w:rsidTr="00960DF2">
        <w:trPr>
          <w:trHeight w:val="247"/>
        </w:trPr>
        <w:tc>
          <w:tcPr>
            <w:tcW w:w="3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2120" w:type="dxa"/>
            <w:gridSpan w:val="3"/>
            <w:tcBorders>
              <w:top w:val="single" w:sz="8" w:space="0" w:color="auto"/>
              <w:right w:val="single" w:sz="8" w:space="0" w:color="auto"/>
            </w:tcBorders>
            <w:shd w:val="clear" w:color="auto" w:fill="auto"/>
            <w:vAlign w:val="bottom"/>
          </w:tcPr>
          <w:p w:rsidR="00BB2269" w:rsidRPr="00DA2D12" w:rsidRDefault="00BB2269" w:rsidP="00960DF2">
            <w:pPr>
              <w:spacing w:after="0" w:line="0" w:lineRule="atLeast"/>
              <w:ind w:right="60"/>
              <w:jc w:val="center"/>
              <w:rPr>
                <w:rFonts w:ascii="Calibri" w:eastAsia="Calibri" w:hAnsi="Calibri" w:cs="Arial"/>
                <w:w w:val="99"/>
                <w:sz w:val="16"/>
                <w:szCs w:val="20"/>
              </w:rPr>
            </w:pPr>
            <w:r w:rsidRPr="00DA2D12">
              <w:rPr>
                <w:rFonts w:ascii="Calibri" w:eastAsia="Calibri" w:hAnsi="Calibri" w:cs="Arial"/>
                <w:w w:val="99"/>
                <w:sz w:val="16"/>
                <w:szCs w:val="20"/>
              </w:rPr>
              <w:t>Drug interaction</w:t>
            </w:r>
          </w:p>
        </w:tc>
        <w:tc>
          <w:tcPr>
            <w:tcW w:w="4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r>
      <w:tr w:rsidR="00BB2269" w:rsidRPr="00DA2D12" w:rsidTr="00960DF2">
        <w:trPr>
          <w:trHeight w:val="146"/>
        </w:trPr>
        <w:tc>
          <w:tcPr>
            <w:tcW w:w="38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1480" w:type="dxa"/>
            <w:gridSpan w:val="2"/>
            <w:vMerge w:val="restart"/>
            <w:tcBorders>
              <w:right w:val="single" w:sz="8" w:space="0" w:color="auto"/>
            </w:tcBorders>
            <w:shd w:val="clear" w:color="auto" w:fill="auto"/>
            <w:vAlign w:val="bottom"/>
          </w:tcPr>
          <w:p w:rsidR="00BB2269" w:rsidRPr="00DA2D12" w:rsidRDefault="00BB2269" w:rsidP="00960DF2">
            <w:pPr>
              <w:spacing w:after="0" w:line="0" w:lineRule="atLeast"/>
              <w:ind w:right="660"/>
              <w:jc w:val="center"/>
              <w:rPr>
                <w:rFonts w:ascii="Calibri" w:eastAsia="Calibri" w:hAnsi="Calibri" w:cs="Arial"/>
                <w:w w:val="97"/>
                <w:sz w:val="16"/>
                <w:szCs w:val="20"/>
              </w:rPr>
            </w:pPr>
          </w:p>
        </w:tc>
        <w:tc>
          <w:tcPr>
            <w:tcW w:w="4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6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r>
      <w:tr w:rsidR="00BB2269" w:rsidRPr="00DA2D12" w:rsidTr="00960DF2">
        <w:trPr>
          <w:trHeight w:val="87"/>
        </w:trPr>
        <w:tc>
          <w:tcPr>
            <w:tcW w:w="38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1480" w:type="dxa"/>
            <w:gridSpan w:val="2"/>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60" w:type="dxa"/>
            <w:shd w:val="clear" w:color="auto" w:fill="auto"/>
            <w:vAlign w:val="bottom"/>
          </w:tcPr>
          <w:p w:rsidR="00BB2269" w:rsidRPr="00DA2D12" w:rsidRDefault="00BB2269" w:rsidP="00960DF2">
            <w:pPr>
              <w:spacing w:after="0" w:line="0" w:lineRule="atLeast"/>
              <w:rPr>
                <w:rFonts w:eastAsia="Times New Roman" w:cs="Arial"/>
                <w:sz w:val="7"/>
                <w:szCs w:val="20"/>
              </w:rPr>
            </w:pPr>
          </w:p>
        </w:tc>
      </w:tr>
      <w:tr w:rsidR="00BB2269" w:rsidRPr="00DA2D12" w:rsidTr="00960DF2">
        <w:trPr>
          <w:trHeight w:val="252"/>
        </w:trPr>
        <w:tc>
          <w:tcPr>
            <w:tcW w:w="3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1480" w:type="dxa"/>
            <w:gridSpan w:val="2"/>
            <w:tcBorders>
              <w:right w:val="single" w:sz="8" w:space="0" w:color="auto"/>
            </w:tcBorders>
            <w:shd w:val="clear" w:color="auto" w:fill="auto"/>
            <w:vAlign w:val="bottom"/>
          </w:tcPr>
          <w:p w:rsidR="00BB2269" w:rsidRPr="00DA2D12" w:rsidRDefault="0089040F" w:rsidP="0089040F">
            <w:pPr>
              <w:spacing w:after="0" w:line="0" w:lineRule="atLeast"/>
              <w:ind w:right="660"/>
              <w:rPr>
                <w:rFonts w:ascii="Calibri" w:eastAsia="Calibri" w:hAnsi="Calibri" w:cs="Arial"/>
                <w:sz w:val="16"/>
                <w:szCs w:val="20"/>
              </w:rPr>
            </w:pPr>
            <w:r>
              <w:rPr>
                <w:rFonts w:ascii="Calibri" w:eastAsia="Calibri" w:hAnsi="Calibri" w:cs="Arial"/>
                <w:sz w:val="16"/>
                <w:szCs w:val="20"/>
              </w:rPr>
              <w:t xml:space="preserve"> 8</w:t>
            </w:r>
            <w:r w:rsidR="00E55377">
              <w:rPr>
                <w:rFonts w:ascii="Calibri" w:eastAsia="Calibri" w:hAnsi="Calibri" w:cs="Arial"/>
                <w:sz w:val="16"/>
                <w:szCs w:val="20"/>
              </w:rPr>
              <w:t xml:space="preserve"> </w:t>
            </w:r>
            <w:r w:rsidR="00BB2269" w:rsidRPr="00DA2D12">
              <w:rPr>
                <w:rFonts w:ascii="Calibri" w:eastAsia="Calibri" w:hAnsi="Calibri" w:cs="Arial"/>
                <w:sz w:val="16"/>
                <w:szCs w:val="20"/>
              </w:rPr>
              <w:t>(21%)</w:t>
            </w:r>
          </w:p>
        </w:tc>
        <w:tc>
          <w:tcPr>
            <w:tcW w:w="4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6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r>
      <w:tr w:rsidR="00BB2269" w:rsidRPr="00DA2D12" w:rsidTr="00960DF2">
        <w:trPr>
          <w:trHeight w:val="73"/>
        </w:trPr>
        <w:tc>
          <w:tcPr>
            <w:tcW w:w="38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6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9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4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60" w:type="dxa"/>
            <w:shd w:val="clear" w:color="auto" w:fill="auto"/>
            <w:vAlign w:val="bottom"/>
          </w:tcPr>
          <w:p w:rsidR="00BB2269" w:rsidRPr="00DA2D12" w:rsidRDefault="00BB2269" w:rsidP="00960DF2">
            <w:pPr>
              <w:keepNext/>
              <w:spacing w:after="0" w:line="0" w:lineRule="atLeast"/>
              <w:rPr>
                <w:rFonts w:eastAsia="Times New Roman" w:cs="Arial"/>
                <w:sz w:val="6"/>
                <w:szCs w:val="20"/>
              </w:rPr>
            </w:pPr>
          </w:p>
        </w:tc>
      </w:tr>
    </w:tbl>
    <w:p w:rsidR="00BB2269" w:rsidRDefault="00BB2269" w:rsidP="00BB2269">
      <w:pPr>
        <w:pStyle w:val="Caption"/>
        <w:rPr>
          <w:rFonts w:ascii="Times New Roman" w:hAnsi="Times New Roman" w:cs="Times New Roman"/>
          <w:color w:val="auto"/>
        </w:rPr>
      </w:pPr>
      <w:r w:rsidRPr="008E6AAD">
        <w:rPr>
          <w:rFonts w:ascii="Times New Roman" w:hAnsi="Times New Roman" w:cs="Times New Roman"/>
          <w:color w:val="auto"/>
        </w:rPr>
        <w:t xml:space="preserve">Figure </w:t>
      </w:r>
      <w:r w:rsidR="00492711" w:rsidRPr="008E6AAD">
        <w:rPr>
          <w:rFonts w:ascii="Times New Roman" w:hAnsi="Times New Roman" w:cs="Times New Roman"/>
          <w:color w:val="auto"/>
        </w:rPr>
        <w:fldChar w:fldCharType="begin"/>
      </w:r>
      <w:r w:rsidRPr="008E6AAD">
        <w:rPr>
          <w:rFonts w:ascii="Times New Roman" w:hAnsi="Times New Roman" w:cs="Times New Roman"/>
          <w:color w:val="auto"/>
        </w:rPr>
        <w:instrText xml:space="preserve"> SEQ Figure \* ARABIC </w:instrText>
      </w:r>
      <w:r w:rsidR="00492711" w:rsidRPr="008E6AAD">
        <w:rPr>
          <w:rFonts w:ascii="Times New Roman" w:hAnsi="Times New Roman" w:cs="Times New Roman"/>
          <w:color w:val="auto"/>
        </w:rPr>
        <w:fldChar w:fldCharType="separate"/>
      </w:r>
      <w:r w:rsidR="007658AC">
        <w:rPr>
          <w:rFonts w:ascii="Times New Roman" w:hAnsi="Times New Roman" w:cs="Times New Roman"/>
          <w:noProof/>
          <w:color w:val="auto"/>
        </w:rPr>
        <w:t>3</w:t>
      </w:r>
      <w:r w:rsidR="00492711" w:rsidRPr="008E6AAD">
        <w:rPr>
          <w:rFonts w:ascii="Times New Roman" w:hAnsi="Times New Roman" w:cs="Times New Roman"/>
          <w:color w:val="auto"/>
        </w:rPr>
        <w:fldChar w:fldCharType="end"/>
      </w:r>
      <w:r w:rsidRPr="008E6AAD">
        <w:rPr>
          <w:rFonts w:ascii="Times New Roman" w:hAnsi="Times New Roman" w:cs="Times New Roman"/>
          <w:color w:val="auto"/>
        </w:rPr>
        <w:t>: Distribution of intended and unintended discrepancies in Hamad General Hospital</w:t>
      </w:r>
    </w:p>
    <w:p w:rsidR="00BB2269" w:rsidRDefault="00BB2269" w:rsidP="00BB2269">
      <w:pPr>
        <w:keepNext/>
      </w:pPr>
      <w:r>
        <w:rPr>
          <w:noProof/>
        </w:rPr>
        <w:drawing>
          <wp:inline distT="0" distB="0" distL="0" distR="0">
            <wp:extent cx="5253990" cy="2537460"/>
            <wp:effectExtent l="19050" t="0" r="22860" b="0"/>
            <wp:docPr id="8"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67322" w:rsidRDefault="00BB2269" w:rsidP="00667322">
      <w:pPr>
        <w:pStyle w:val="Caption"/>
        <w:rPr>
          <w:color w:val="auto"/>
        </w:rPr>
      </w:pPr>
      <w:r w:rsidRPr="00C26CC5">
        <w:rPr>
          <w:color w:val="auto"/>
        </w:rPr>
        <w:t xml:space="preserve">Figure </w:t>
      </w:r>
      <w:r w:rsidR="00492711" w:rsidRPr="00C26CC5">
        <w:rPr>
          <w:color w:val="auto"/>
        </w:rPr>
        <w:fldChar w:fldCharType="begin"/>
      </w:r>
      <w:r w:rsidRPr="00C26CC5">
        <w:rPr>
          <w:color w:val="auto"/>
        </w:rPr>
        <w:instrText xml:space="preserve"> SEQ Figure \* ARABIC </w:instrText>
      </w:r>
      <w:r w:rsidR="00492711" w:rsidRPr="00C26CC5">
        <w:rPr>
          <w:color w:val="auto"/>
        </w:rPr>
        <w:fldChar w:fldCharType="separate"/>
      </w:r>
      <w:r w:rsidR="007658AC">
        <w:rPr>
          <w:noProof/>
          <w:color w:val="auto"/>
        </w:rPr>
        <w:t>4</w:t>
      </w:r>
      <w:r w:rsidR="00492711" w:rsidRPr="00C26CC5">
        <w:rPr>
          <w:color w:val="auto"/>
        </w:rPr>
        <w:fldChar w:fldCharType="end"/>
      </w:r>
      <w:r w:rsidRPr="00C26CC5">
        <w:rPr>
          <w:color w:val="auto"/>
        </w:rPr>
        <w:t>: percentage prevalence of the unintended discrepancies</w:t>
      </w:r>
    </w:p>
    <w:p w:rsidR="00BB2269" w:rsidRDefault="00BB2269" w:rsidP="00667322">
      <w:pPr>
        <w:pStyle w:val="Caption"/>
        <w:rPr>
          <w:rFonts w:ascii="Times New Roman" w:hAnsi="Times New Roman" w:cs="Times New Roman"/>
          <w:color w:val="000000" w:themeColor="text1"/>
          <w:sz w:val="24"/>
          <w:szCs w:val="24"/>
        </w:rPr>
      </w:pPr>
      <w:r w:rsidRPr="00667322">
        <w:rPr>
          <w:rFonts w:ascii="Times New Roman" w:hAnsi="Times New Roman" w:cs="Times New Roman"/>
          <w:color w:val="000000" w:themeColor="text1"/>
          <w:sz w:val="24"/>
          <w:szCs w:val="24"/>
        </w:rPr>
        <w:t>Medication Cl</w:t>
      </w:r>
      <w:r w:rsidR="00245A3D">
        <w:rPr>
          <w:rFonts w:ascii="Times New Roman" w:hAnsi="Times New Roman" w:cs="Times New Roman"/>
          <w:color w:val="000000" w:themeColor="text1"/>
          <w:sz w:val="24"/>
          <w:szCs w:val="24"/>
        </w:rPr>
        <w:t>asses and Potential to Cause Home</w:t>
      </w:r>
    </w:p>
    <w:p w:rsidR="00BB2269" w:rsidRDefault="00BB2269" w:rsidP="00BB2269">
      <w:pPr>
        <w:spacing w:line="480" w:lineRule="auto"/>
        <w:rPr>
          <w:rFonts w:cs="Times New Roman"/>
          <w:szCs w:val="24"/>
        </w:rPr>
      </w:pPr>
      <w:r>
        <w:rPr>
          <w:rFonts w:cs="Times New Roman"/>
          <w:szCs w:val="24"/>
        </w:rPr>
        <w:t xml:space="preserve">The medication groups related to the errors that were the most common among the participants of the study include the lipid-reducing drugs (13.4%), antidepressants (10.3%), and analgesics (5.8%).  The information on these groups is presented in figure 2. </w:t>
      </w:r>
    </w:p>
    <w:p w:rsidR="00BB2269" w:rsidRDefault="00BB2269" w:rsidP="00BB2269">
      <w:pPr>
        <w:keepNext/>
        <w:spacing w:line="480" w:lineRule="auto"/>
      </w:pPr>
      <w:r>
        <w:rPr>
          <w:rFonts w:cs="Times New Roman"/>
          <w:noProof/>
          <w:szCs w:val="24"/>
        </w:rPr>
        <w:drawing>
          <wp:inline distT="0" distB="0" distL="0" distR="0">
            <wp:extent cx="5486400" cy="3200400"/>
            <wp:effectExtent l="19050" t="0" r="19050" b="0"/>
            <wp:docPr id="9"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B2269" w:rsidRPr="00AF3046" w:rsidRDefault="00BB2269" w:rsidP="00BB2269">
      <w:pPr>
        <w:pStyle w:val="Caption"/>
        <w:rPr>
          <w:rFonts w:ascii="Times New Roman" w:hAnsi="Times New Roman" w:cs="Times New Roman"/>
          <w:color w:val="auto"/>
          <w:sz w:val="24"/>
          <w:szCs w:val="24"/>
        </w:rPr>
      </w:pPr>
      <w:r w:rsidRPr="00AF3046">
        <w:rPr>
          <w:color w:val="auto"/>
        </w:rPr>
        <w:t xml:space="preserve">Figure </w:t>
      </w:r>
      <w:r w:rsidR="00492711" w:rsidRPr="00AF3046">
        <w:rPr>
          <w:color w:val="auto"/>
        </w:rPr>
        <w:fldChar w:fldCharType="begin"/>
      </w:r>
      <w:r w:rsidRPr="00AF3046">
        <w:rPr>
          <w:color w:val="auto"/>
        </w:rPr>
        <w:instrText xml:space="preserve"> SEQ Figure \* ARABIC </w:instrText>
      </w:r>
      <w:r w:rsidR="00492711" w:rsidRPr="00AF3046">
        <w:rPr>
          <w:color w:val="auto"/>
        </w:rPr>
        <w:fldChar w:fldCharType="separate"/>
      </w:r>
      <w:r w:rsidR="007658AC">
        <w:rPr>
          <w:noProof/>
          <w:color w:val="auto"/>
        </w:rPr>
        <w:t>5</w:t>
      </w:r>
      <w:r w:rsidR="00492711" w:rsidRPr="00AF3046">
        <w:rPr>
          <w:color w:val="auto"/>
        </w:rPr>
        <w:fldChar w:fldCharType="end"/>
      </w:r>
      <w:r w:rsidRPr="00AF3046">
        <w:rPr>
          <w:color w:val="auto"/>
        </w:rPr>
        <w:t>: Prevalent drug groups associated with medication errors</w:t>
      </w:r>
    </w:p>
    <w:p w:rsidR="00BB2269" w:rsidRDefault="00BB2269" w:rsidP="00BB2269">
      <w:pPr>
        <w:spacing w:line="480" w:lineRule="auto"/>
        <w:rPr>
          <w:rFonts w:cs="Times New Roman"/>
          <w:szCs w:val="24"/>
        </w:rPr>
      </w:pPr>
      <w:r>
        <w:rPr>
          <w:rFonts w:cs="Times New Roman"/>
          <w:szCs w:val="24"/>
        </w:rPr>
        <w:t>Among the patients taking high-risk medications, twenty errors that required attention were identified affecting 9.5% of the patients at 95% confidence interval. Warfarin and hypoglycemic agents were the most prevalent high-risk drugs with errors at a percentage frequency of 37.8% and 56.2% respectively as seen in figure 3.</w:t>
      </w:r>
    </w:p>
    <w:p w:rsidR="00BB2269" w:rsidRDefault="00BB2269" w:rsidP="00BB2269">
      <w:pPr>
        <w:keepNext/>
        <w:spacing w:line="480" w:lineRule="auto"/>
      </w:pPr>
      <w:r>
        <w:rPr>
          <w:rFonts w:cs="Times New Roman"/>
          <w:noProof/>
          <w:szCs w:val="24"/>
        </w:rPr>
        <w:drawing>
          <wp:inline distT="0" distB="0" distL="0" distR="0">
            <wp:extent cx="5177790" cy="2766060"/>
            <wp:effectExtent l="19050" t="0" r="22860" b="0"/>
            <wp:docPr id="1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B2269" w:rsidRPr="00A34D8A" w:rsidRDefault="00BB2269" w:rsidP="00BB2269">
      <w:pPr>
        <w:pStyle w:val="Caption"/>
        <w:rPr>
          <w:rFonts w:ascii="Times New Roman" w:hAnsi="Times New Roman" w:cs="Times New Roman"/>
          <w:color w:val="auto"/>
          <w:sz w:val="24"/>
          <w:szCs w:val="24"/>
        </w:rPr>
      </w:pPr>
      <w:r w:rsidRPr="00A34D8A">
        <w:rPr>
          <w:color w:val="auto"/>
        </w:rPr>
        <w:t xml:space="preserve">Figure </w:t>
      </w:r>
      <w:r w:rsidR="00492711" w:rsidRPr="00A34D8A">
        <w:rPr>
          <w:color w:val="auto"/>
        </w:rPr>
        <w:fldChar w:fldCharType="begin"/>
      </w:r>
      <w:r w:rsidRPr="00A34D8A">
        <w:rPr>
          <w:color w:val="auto"/>
        </w:rPr>
        <w:instrText xml:space="preserve"> SEQ Figure \* ARABIC </w:instrText>
      </w:r>
      <w:r w:rsidR="00492711" w:rsidRPr="00A34D8A">
        <w:rPr>
          <w:color w:val="auto"/>
        </w:rPr>
        <w:fldChar w:fldCharType="separate"/>
      </w:r>
      <w:r w:rsidR="007658AC">
        <w:rPr>
          <w:noProof/>
          <w:color w:val="auto"/>
        </w:rPr>
        <w:t>6</w:t>
      </w:r>
      <w:r w:rsidR="00492711" w:rsidRPr="00A34D8A">
        <w:rPr>
          <w:color w:val="auto"/>
        </w:rPr>
        <w:fldChar w:fldCharType="end"/>
      </w:r>
      <w:r w:rsidRPr="00A34D8A">
        <w:rPr>
          <w:color w:val="auto"/>
        </w:rPr>
        <w:t>: Frequencies of high-risk medications in the medication lists of the patients</w:t>
      </w:r>
    </w:p>
    <w:p w:rsidR="00BB2269" w:rsidRDefault="00BB2269" w:rsidP="00BB2269">
      <w:pPr>
        <w:spacing w:line="480" w:lineRule="auto"/>
        <w:rPr>
          <w:rFonts w:cs="Times New Roman"/>
          <w:szCs w:val="24"/>
        </w:rPr>
      </w:pPr>
      <w:r>
        <w:rPr>
          <w:rFonts w:cs="Times New Roman"/>
          <w:szCs w:val="24"/>
        </w:rPr>
        <w:t xml:space="preserve"> The distribution of the frequency distributions of the medication errors are </w:t>
      </w:r>
      <w:r w:rsidR="00495A4B">
        <w:rPr>
          <w:rFonts w:cs="Times New Roman"/>
          <w:szCs w:val="24"/>
        </w:rPr>
        <w:t>displayed on table 3. Of the 106</w:t>
      </w:r>
      <w:r w:rsidR="00995E08">
        <w:rPr>
          <w:rFonts w:cs="Times New Roman"/>
          <w:szCs w:val="24"/>
        </w:rPr>
        <w:t xml:space="preserve"> discrepancies, 42.3%</w:t>
      </w:r>
      <w:r>
        <w:rPr>
          <w:rFonts w:cs="Times New Roman"/>
          <w:szCs w:val="24"/>
        </w:rPr>
        <w:t xml:space="preserve"> of them required observation or intervention to rule out the possibility of harm. 37.2% of the discrepancies were unlikely to cause h</w:t>
      </w:r>
      <w:r w:rsidR="00995E08">
        <w:rPr>
          <w:rFonts w:cs="Times New Roman"/>
          <w:szCs w:val="24"/>
        </w:rPr>
        <w:t xml:space="preserve">arm to the patients while 5.7% </w:t>
      </w:r>
      <w:r>
        <w:rPr>
          <w:rFonts w:cs="Times New Roman"/>
          <w:szCs w:val="24"/>
        </w:rPr>
        <w:t>were rated to cause momentary harm that required intervention with acute to prolonged hospitalization.</w:t>
      </w:r>
    </w:p>
    <w:p w:rsidR="00BB2269" w:rsidRPr="004E74EB" w:rsidRDefault="0064503B" w:rsidP="00BB2269">
      <w:pPr>
        <w:spacing w:line="276" w:lineRule="auto"/>
        <w:jc w:val="both"/>
        <w:rPr>
          <w:rFonts w:cs="Times New Roman"/>
          <w:b/>
          <w:color w:val="000000" w:themeColor="text1"/>
          <w:sz w:val="18"/>
          <w:szCs w:val="18"/>
        </w:rPr>
      </w:pPr>
      <w:r>
        <w:rPr>
          <w:rFonts w:cs="Times New Roman"/>
          <w:b/>
          <w:color w:val="000000" w:themeColor="text1"/>
          <w:sz w:val="18"/>
          <w:szCs w:val="18"/>
        </w:rPr>
        <w:t>Table 6</w:t>
      </w:r>
      <w:r w:rsidR="00BB2269" w:rsidRPr="004E74EB">
        <w:rPr>
          <w:rFonts w:cs="Times New Roman"/>
          <w:b/>
          <w:color w:val="000000" w:themeColor="text1"/>
          <w:sz w:val="18"/>
          <w:szCs w:val="18"/>
        </w:rPr>
        <w:t>: Potential harm ratings of medication err</w:t>
      </w:r>
      <w:r w:rsidR="00926A04">
        <w:rPr>
          <w:rFonts w:cs="Times New Roman"/>
          <w:b/>
          <w:color w:val="000000" w:themeColor="text1"/>
          <w:sz w:val="18"/>
          <w:szCs w:val="18"/>
        </w:rPr>
        <w:t>or</w:t>
      </w:r>
    </w:p>
    <w:tbl>
      <w:tblPr>
        <w:tblW w:w="0" w:type="auto"/>
        <w:jc w:val="center"/>
        <w:tblCellMar>
          <w:left w:w="0" w:type="dxa"/>
          <w:right w:w="0" w:type="dxa"/>
        </w:tblCellMar>
        <w:tblLook w:val="0000"/>
      </w:tblPr>
      <w:tblGrid>
        <w:gridCol w:w="84"/>
        <w:gridCol w:w="256"/>
        <w:gridCol w:w="4800"/>
        <w:gridCol w:w="30"/>
        <w:gridCol w:w="180"/>
        <w:gridCol w:w="120"/>
        <w:gridCol w:w="756"/>
        <w:gridCol w:w="48"/>
        <w:gridCol w:w="56"/>
        <w:gridCol w:w="20"/>
        <w:gridCol w:w="300"/>
      </w:tblGrid>
      <w:tr w:rsidR="00BB2269" w:rsidTr="00960DF2">
        <w:trPr>
          <w:gridAfter w:val="4"/>
          <w:wAfter w:w="424" w:type="dxa"/>
          <w:trHeight w:val="188"/>
          <w:jc w:val="center"/>
        </w:trPr>
        <w:tc>
          <w:tcPr>
            <w:tcW w:w="84" w:type="dxa"/>
            <w:tcBorders>
              <w:top w:val="single" w:sz="4" w:space="0" w:color="auto"/>
              <w:righ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256" w:type="dxa"/>
            <w:tcBorders>
              <w:top w:val="single" w:sz="4" w:space="0" w:color="auto"/>
              <w:lef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4800" w:type="dxa"/>
            <w:tcBorders>
              <w:top w:val="single" w:sz="4" w:space="0" w:color="auto"/>
              <w:right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30" w:type="dxa"/>
            <w:tcBorders>
              <w:top w:val="single" w:sz="4" w:space="0" w:color="auto"/>
              <w:bottom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300" w:type="dxa"/>
            <w:gridSpan w:val="2"/>
            <w:tcBorders>
              <w:top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756" w:type="dxa"/>
            <w:tcBorders>
              <w:top w:val="single" w:sz="4" w:space="0" w:color="auto"/>
              <w:bottom w:val="single" w:sz="4" w:space="0" w:color="auto"/>
              <w:right w:val="single" w:sz="4" w:space="0" w:color="auto"/>
            </w:tcBorders>
            <w:shd w:val="clear" w:color="auto" w:fill="auto"/>
          </w:tcPr>
          <w:p w:rsidR="00BB2269" w:rsidRDefault="00BB2269" w:rsidP="00960DF2">
            <w:pPr>
              <w:rPr>
                <w:rFonts w:eastAsia="Times New Roman"/>
                <w:sz w:val="16"/>
              </w:rPr>
            </w:pPr>
          </w:p>
        </w:tc>
      </w:tr>
      <w:tr w:rsidR="00BB2269" w:rsidTr="00960DF2">
        <w:trPr>
          <w:trHeight w:val="182"/>
          <w:jc w:val="center"/>
        </w:trPr>
        <w:tc>
          <w:tcPr>
            <w:tcW w:w="84" w:type="dxa"/>
            <w:tcBorders>
              <w:right w:val="single" w:sz="4" w:space="0" w:color="auto"/>
            </w:tcBorders>
            <w:shd w:val="clear" w:color="auto" w:fill="auto"/>
            <w:vAlign w:val="bottom"/>
          </w:tcPr>
          <w:p w:rsidR="00BB2269" w:rsidRDefault="00BB2269" w:rsidP="00960DF2">
            <w:pPr>
              <w:spacing w:line="0" w:lineRule="atLeast"/>
              <w:rPr>
                <w:rFonts w:eastAsia="Times New Roman"/>
                <w:sz w:val="15"/>
              </w:rPr>
            </w:pPr>
          </w:p>
        </w:tc>
        <w:tc>
          <w:tcPr>
            <w:tcW w:w="256" w:type="dxa"/>
            <w:tcBorders>
              <w:left w:val="single" w:sz="4" w:space="0" w:color="auto"/>
            </w:tcBorders>
            <w:shd w:val="clear" w:color="auto" w:fill="auto"/>
            <w:vAlign w:val="bottom"/>
          </w:tcPr>
          <w:p w:rsidR="00BB2269" w:rsidRDefault="00BB2269" w:rsidP="00960DF2">
            <w:pPr>
              <w:spacing w:line="0" w:lineRule="atLeast"/>
              <w:rPr>
                <w:rFonts w:eastAsia="Times New Roman"/>
                <w:sz w:val="15"/>
              </w:rPr>
            </w:pPr>
          </w:p>
        </w:tc>
        <w:tc>
          <w:tcPr>
            <w:tcW w:w="4800" w:type="dxa"/>
            <w:tcBorders>
              <w:right w:val="single" w:sz="8" w:space="0" w:color="auto"/>
            </w:tcBorders>
            <w:shd w:val="clear" w:color="auto" w:fill="auto"/>
            <w:vAlign w:val="bottom"/>
          </w:tcPr>
          <w:p w:rsidR="00BB2269" w:rsidRDefault="00BB2269" w:rsidP="00960DF2">
            <w:pPr>
              <w:spacing w:line="177" w:lineRule="exact"/>
              <w:ind w:left="1680"/>
              <w:rPr>
                <w:b/>
                <w:sz w:val="16"/>
              </w:rPr>
            </w:pPr>
            <w:r>
              <w:rPr>
                <w:b/>
                <w:sz w:val="16"/>
              </w:rPr>
              <w:t>Potential harm rating</w:t>
            </w:r>
          </w:p>
        </w:tc>
        <w:tc>
          <w:tcPr>
            <w:tcW w:w="210" w:type="dxa"/>
            <w:gridSpan w:val="2"/>
            <w:shd w:val="clear" w:color="auto" w:fill="auto"/>
            <w:vAlign w:val="bottom"/>
          </w:tcPr>
          <w:p w:rsidR="00BB2269" w:rsidRDefault="00BB2269" w:rsidP="00960DF2">
            <w:pPr>
              <w:spacing w:line="0" w:lineRule="atLeast"/>
              <w:rPr>
                <w:rFonts w:eastAsia="Times New Roman"/>
                <w:sz w:val="15"/>
              </w:rPr>
            </w:pPr>
          </w:p>
        </w:tc>
        <w:tc>
          <w:tcPr>
            <w:tcW w:w="924" w:type="dxa"/>
            <w:gridSpan w:val="3"/>
            <w:tcBorders>
              <w:right w:val="single" w:sz="4" w:space="0" w:color="auto"/>
            </w:tcBorders>
            <w:shd w:val="clear" w:color="auto" w:fill="auto"/>
            <w:vAlign w:val="bottom"/>
          </w:tcPr>
          <w:p w:rsidR="00BB2269" w:rsidRDefault="00BB2269" w:rsidP="00960DF2">
            <w:pPr>
              <w:spacing w:line="178" w:lineRule="exact"/>
              <w:ind w:right="520"/>
              <w:jc w:val="center"/>
              <w:rPr>
                <w:rFonts w:ascii="Arial" w:eastAsia="Arial" w:hAnsi="Arial"/>
                <w:b/>
                <w:w w:val="99"/>
                <w:sz w:val="16"/>
              </w:rPr>
            </w:pPr>
            <w:r>
              <w:rPr>
                <w:rFonts w:ascii="Arial" w:eastAsia="Arial" w:hAnsi="Arial"/>
                <w:b/>
                <w:w w:val="99"/>
                <w:sz w:val="16"/>
              </w:rPr>
              <w:t>Total</w:t>
            </w:r>
          </w:p>
        </w:tc>
        <w:tc>
          <w:tcPr>
            <w:tcW w:w="376" w:type="dxa"/>
            <w:gridSpan w:val="3"/>
            <w:tcBorders>
              <w:left w:val="single" w:sz="4" w:space="0" w:color="auto"/>
            </w:tcBorders>
            <w:shd w:val="clear" w:color="auto" w:fill="auto"/>
            <w:vAlign w:val="bottom"/>
          </w:tcPr>
          <w:p w:rsidR="00BB2269" w:rsidRDefault="00BB2269" w:rsidP="00960DF2">
            <w:pPr>
              <w:spacing w:line="178" w:lineRule="exact"/>
              <w:ind w:right="520"/>
              <w:jc w:val="center"/>
              <w:rPr>
                <w:rFonts w:ascii="Arial" w:eastAsia="Arial" w:hAnsi="Arial"/>
                <w:b/>
                <w:w w:val="99"/>
                <w:sz w:val="16"/>
              </w:rPr>
            </w:pPr>
          </w:p>
        </w:tc>
      </w:tr>
      <w:tr w:rsidR="00BB2269" w:rsidTr="00960DF2">
        <w:trPr>
          <w:trHeight w:val="198"/>
          <w:jc w:val="center"/>
        </w:trPr>
        <w:tc>
          <w:tcPr>
            <w:tcW w:w="84" w:type="dxa"/>
            <w:tcBorders>
              <w:right w:val="single" w:sz="4" w:space="0" w:color="auto"/>
            </w:tcBorders>
            <w:shd w:val="clear" w:color="auto" w:fill="auto"/>
            <w:vAlign w:val="bottom"/>
          </w:tcPr>
          <w:p w:rsidR="00BB2269" w:rsidRDefault="00BB2269" w:rsidP="00960DF2">
            <w:pPr>
              <w:spacing w:line="0" w:lineRule="atLeast"/>
              <w:rPr>
                <w:rFonts w:eastAsia="Times New Roman"/>
                <w:sz w:val="17"/>
              </w:rPr>
            </w:pPr>
          </w:p>
        </w:tc>
        <w:tc>
          <w:tcPr>
            <w:tcW w:w="256" w:type="dxa"/>
            <w:tcBorders>
              <w:left w:val="single" w:sz="4" w:space="0" w:color="auto"/>
            </w:tcBorders>
            <w:shd w:val="clear" w:color="auto" w:fill="auto"/>
            <w:vAlign w:val="bottom"/>
          </w:tcPr>
          <w:p w:rsidR="00BB2269" w:rsidRDefault="00BB2269" w:rsidP="00960DF2">
            <w:pPr>
              <w:spacing w:line="0" w:lineRule="atLeast"/>
              <w:rPr>
                <w:rFonts w:eastAsia="Times New Roman"/>
                <w:sz w:val="17"/>
              </w:rPr>
            </w:pPr>
          </w:p>
        </w:tc>
        <w:tc>
          <w:tcPr>
            <w:tcW w:w="4800" w:type="dxa"/>
            <w:tcBorders>
              <w:right w:val="single" w:sz="8" w:space="0" w:color="auto"/>
            </w:tcBorders>
            <w:shd w:val="clear" w:color="auto" w:fill="auto"/>
            <w:vAlign w:val="bottom"/>
          </w:tcPr>
          <w:p w:rsidR="00BB2269" w:rsidRDefault="00BB2269" w:rsidP="00960DF2">
            <w:pPr>
              <w:spacing w:line="0" w:lineRule="atLeast"/>
              <w:rPr>
                <w:rFonts w:eastAsia="Times New Roman"/>
                <w:sz w:val="17"/>
              </w:rPr>
            </w:pPr>
          </w:p>
        </w:tc>
        <w:tc>
          <w:tcPr>
            <w:tcW w:w="210" w:type="dxa"/>
            <w:gridSpan w:val="2"/>
            <w:shd w:val="clear" w:color="auto" w:fill="auto"/>
            <w:vAlign w:val="bottom"/>
          </w:tcPr>
          <w:p w:rsidR="00BB2269" w:rsidRDefault="00BB2269" w:rsidP="00960DF2">
            <w:pPr>
              <w:spacing w:line="0" w:lineRule="atLeast"/>
              <w:rPr>
                <w:rFonts w:eastAsia="Times New Roman"/>
                <w:sz w:val="17"/>
              </w:rPr>
            </w:pPr>
          </w:p>
        </w:tc>
        <w:tc>
          <w:tcPr>
            <w:tcW w:w="924" w:type="dxa"/>
            <w:gridSpan w:val="3"/>
            <w:tcBorders>
              <w:right w:val="single" w:sz="4" w:space="0" w:color="auto"/>
            </w:tcBorders>
            <w:shd w:val="clear" w:color="auto" w:fill="auto"/>
            <w:vAlign w:val="bottom"/>
          </w:tcPr>
          <w:p w:rsidR="00BB2269" w:rsidRDefault="0064366E" w:rsidP="00960DF2">
            <w:pPr>
              <w:spacing w:line="189" w:lineRule="exact"/>
              <w:ind w:right="520"/>
              <w:jc w:val="center"/>
              <w:rPr>
                <w:b/>
                <w:w w:val="99"/>
                <w:sz w:val="16"/>
              </w:rPr>
            </w:pPr>
            <w:r>
              <w:rPr>
                <w:b/>
                <w:w w:val="99"/>
                <w:sz w:val="16"/>
              </w:rPr>
              <w:t>(n = 106</w:t>
            </w:r>
            <w:r w:rsidR="00BB2269">
              <w:rPr>
                <w:b/>
                <w:w w:val="99"/>
                <w:sz w:val="16"/>
              </w:rPr>
              <w:t>)</w:t>
            </w:r>
          </w:p>
        </w:tc>
        <w:tc>
          <w:tcPr>
            <w:tcW w:w="376" w:type="dxa"/>
            <w:gridSpan w:val="3"/>
            <w:tcBorders>
              <w:left w:val="single" w:sz="4" w:space="0" w:color="auto"/>
            </w:tcBorders>
            <w:shd w:val="clear" w:color="auto" w:fill="auto"/>
            <w:vAlign w:val="bottom"/>
          </w:tcPr>
          <w:p w:rsidR="00BB2269" w:rsidRDefault="00BB2269" w:rsidP="00960DF2">
            <w:pPr>
              <w:spacing w:line="189" w:lineRule="exact"/>
              <w:ind w:right="520"/>
              <w:jc w:val="center"/>
              <w:rPr>
                <w:b/>
                <w:w w:val="99"/>
                <w:sz w:val="16"/>
              </w:rPr>
            </w:pPr>
          </w:p>
        </w:tc>
      </w:tr>
      <w:tr w:rsidR="00BB2269" w:rsidTr="00960DF2">
        <w:trPr>
          <w:trHeight w:val="183"/>
          <w:jc w:val="center"/>
        </w:trPr>
        <w:tc>
          <w:tcPr>
            <w:tcW w:w="84" w:type="dxa"/>
            <w:tcBorders>
              <w:top w:val="single" w:sz="4" w:space="0" w:color="auto"/>
              <w:right w:val="single" w:sz="4" w:space="0" w:color="auto"/>
            </w:tcBorders>
            <w:shd w:val="clear" w:color="auto" w:fill="auto"/>
            <w:vAlign w:val="bottom"/>
          </w:tcPr>
          <w:p w:rsidR="00BB2269" w:rsidRDefault="00BB2269" w:rsidP="00960DF2">
            <w:pPr>
              <w:spacing w:line="0" w:lineRule="atLeast"/>
              <w:rPr>
                <w:rFonts w:eastAsia="Times New Roman"/>
                <w:sz w:val="15"/>
              </w:rPr>
            </w:pPr>
          </w:p>
        </w:tc>
        <w:tc>
          <w:tcPr>
            <w:tcW w:w="256" w:type="dxa"/>
            <w:tcBorders>
              <w:top w:val="single" w:sz="4" w:space="0" w:color="auto"/>
              <w:left w:val="single" w:sz="4" w:space="0" w:color="auto"/>
            </w:tcBorders>
            <w:shd w:val="clear" w:color="auto" w:fill="auto"/>
            <w:vAlign w:val="bottom"/>
          </w:tcPr>
          <w:p w:rsidR="00BB2269" w:rsidRDefault="00BB2269" w:rsidP="00960DF2">
            <w:pPr>
              <w:spacing w:line="0" w:lineRule="atLeast"/>
              <w:rPr>
                <w:rFonts w:eastAsia="Times New Roman"/>
                <w:sz w:val="15"/>
              </w:rPr>
            </w:pPr>
          </w:p>
        </w:tc>
        <w:tc>
          <w:tcPr>
            <w:tcW w:w="4800" w:type="dxa"/>
            <w:tcBorders>
              <w:top w:val="single" w:sz="8" w:space="0" w:color="auto"/>
              <w:right w:val="single" w:sz="8" w:space="0" w:color="auto"/>
            </w:tcBorders>
            <w:shd w:val="clear" w:color="auto" w:fill="auto"/>
            <w:vAlign w:val="bottom"/>
          </w:tcPr>
          <w:p w:rsidR="00BB2269" w:rsidRDefault="00BB2269" w:rsidP="00960DF2">
            <w:pPr>
              <w:spacing w:line="183" w:lineRule="exact"/>
              <w:ind w:left="120"/>
              <w:rPr>
                <w:sz w:val="16"/>
              </w:rPr>
            </w:pPr>
          </w:p>
        </w:tc>
        <w:tc>
          <w:tcPr>
            <w:tcW w:w="210" w:type="dxa"/>
            <w:gridSpan w:val="2"/>
            <w:tcBorders>
              <w:top w:val="single" w:sz="8" w:space="0" w:color="auto"/>
            </w:tcBorders>
            <w:shd w:val="clear" w:color="auto" w:fill="auto"/>
            <w:vAlign w:val="bottom"/>
          </w:tcPr>
          <w:p w:rsidR="00BB2269" w:rsidRDefault="00BB2269" w:rsidP="00960DF2">
            <w:pPr>
              <w:spacing w:line="0" w:lineRule="atLeast"/>
              <w:rPr>
                <w:rFonts w:eastAsia="Times New Roman"/>
                <w:sz w:val="15"/>
              </w:rPr>
            </w:pPr>
          </w:p>
        </w:tc>
        <w:tc>
          <w:tcPr>
            <w:tcW w:w="924" w:type="dxa"/>
            <w:gridSpan w:val="3"/>
            <w:vMerge w:val="restart"/>
            <w:tcBorders>
              <w:top w:val="single" w:sz="8" w:space="0" w:color="auto"/>
              <w:right w:val="single" w:sz="4" w:space="0" w:color="auto"/>
            </w:tcBorders>
            <w:shd w:val="clear" w:color="auto" w:fill="auto"/>
            <w:vAlign w:val="bottom"/>
          </w:tcPr>
          <w:p w:rsidR="00BB2269" w:rsidRDefault="00D80C0E" w:rsidP="00D80C0E">
            <w:pPr>
              <w:spacing w:line="0" w:lineRule="atLeast"/>
              <w:ind w:right="113"/>
              <w:rPr>
                <w:w w:val="99"/>
                <w:sz w:val="16"/>
              </w:rPr>
            </w:pPr>
            <w:r>
              <w:rPr>
                <w:w w:val="99"/>
                <w:sz w:val="16"/>
              </w:rPr>
              <w:t>39</w:t>
            </w:r>
            <w:r w:rsidR="00BB2269">
              <w:rPr>
                <w:w w:val="99"/>
                <w:sz w:val="16"/>
              </w:rPr>
              <w:t xml:space="preserve"> (37.2%)</w:t>
            </w:r>
          </w:p>
        </w:tc>
        <w:tc>
          <w:tcPr>
            <w:tcW w:w="56" w:type="dxa"/>
            <w:vMerge w:val="restart"/>
            <w:tcBorders>
              <w:top w:val="single" w:sz="8" w:space="0" w:color="auto"/>
              <w:left w:val="single" w:sz="4" w:space="0" w:color="auto"/>
            </w:tcBorders>
            <w:shd w:val="clear" w:color="auto" w:fill="auto"/>
            <w:vAlign w:val="bottom"/>
          </w:tcPr>
          <w:p w:rsidR="00BB2269" w:rsidRDefault="00BB2269" w:rsidP="00960DF2">
            <w:pPr>
              <w:spacing w:line="0" w:lineRule="atLeast"/>
              <w:ind w:right="113"/>
              <w:jc w:val="center"/>
              <w:rPr>
                <w:w w:val="99"/>
                <w:sz w:val="16"/>
              </w:rPr>
            </w:pPr>
          </w:p>
        </w:tc>
        <w:tc>
          <w:tcPr>
            <w:tcW w:w="20" w:type="dxa"/>
            <w:tcBorders>
              <w:top w:val="single" w:sz="8" w:space="0" w:color="auto"/>
            </w:tcBorders>
            <w:shd w:val="clear" w:color="auto" w:fill="auto"/>
            <w:vAlign w:val="bottom"/>
          </w:tcPr>
          <w:p w:rsidR="00BB2269" w:rsidRDefault="00BB2269" w:rsidP="00960DF2">
            <w:pPr>
              <w:spacing w:line="0" w:lineRule="atLeast"/>
              <w:rPr>
                <w:rFonts w:eastAsia="Times New Roman"/>
                <w:sz w:val="15"/>
              </w:rPr>
            </w:pPr>
          </w:p>
        </w:tc>
        <w:tc>
          <w:tcPr>
            <w:tcW w:w="300" w:type="dxa"/>
            <w:shd w:val="clear" w:color="auto" w:fill="auto"/>
            <w:vAlign w:val="bottom"/>
          </w:tcPr>
          <w:p w:rsidR="00BB2269" w:rsidRDefault="00BB2269" w:rsidP="00960DF2">
            <w:pPr>
              <w:spacing w:line="0" w:lineRule="atLeast"/>
              <w:rPr>
                <w:rFonts w:eastAsia="Times New Roman"/>
                <w:sz w:val="15"/>
              </w:rPr>
            </w:pPr>
          </w:p>
        </w:tc>
      </w:tr>
      <w:tr w:rsidR="00BB2269" w:rsidTr="00960DF2">
        <w:trPr>
          <w:trHeight w:val="97"/>
          <w:jc w:val="center"/>
        </w:trPr>
        <w:tc>
          <w:tcPr>
            <w:tcW w:w="84" w:type="dxa"/>
            <w:tcBorders>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256" w:type="dxa"/>
            <w:tcBorders>
              <w:lef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4800" w:type="dxa"/>
            <w:vMerge w:val="restart"/>
            <w:tcBorders>
              <w:right w:val="single" w:sz="8" w:space="0" w:color="auto"/>
            </w:tcBorders>
            <w:shd w:val="clear" w:color="auto" w:fill="auto"/>
            <w:vAlign w:val="bottom"/>
          </w:tcPr>
          <w:p w:rsidR="00BB2269" w:rsidRDefault="00BB2269" w:rsidP="00B01073">
            <w:pPr>
              <w:spacing w:line="0" w:lineRule="atLeast"/>
              <w:ind w:left="120"/>
              <w:jc w:val="center"/>
              <w:rPr>
                <w:sz w:val="16"/>
              </w:rPr>
            </w:pPr>
            <w:r>
              <w:rPr>
                <w:sz w:val="16"/>
              </w:rPr>
              <w:t>No potential harm</w:t>
            </w:r>
          </w:p>
        </w:tc>
        <w:tc>
          <w:tcPr>
            <w:tcW w:w="210" w:type="dxa"/>
            <w:gridSpan w:val="2"/>
            <w:shd w:val="clear" w:color="auto" w:fill="auto"/>
            <w:vAlign w:val="bottom"/>
          </w:tcPr>
          <w:p w:rsidR="00BB2269" w:rsidRDefault="00BB2269" w:rsidP="00960DF2">
            <w:pPr>
              <w:spacing w:line="0" w:lineRule="atLeast"/>
              <w:rPr>
                <w:rFonts w:eastAsia="Times New Roman"/>
                <w:sz w:val="8"/>
              </w:rPr>
            </w:pPr>
          </w:p>
        </w:tc>
        <w:tc>
          <w:tcPr>
            <w:tcW w:w="924" w:type="dxa"/>
            <w:gridSpan w:val="3"/>
            <w:vMerge/>
            <w:tcBorders>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56" w:type="dxa"/>
            <w:vMerge/>
            <w:tcBorders>
              <w:lef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20" w:type="dxa"/>
            <w:shd w:val="clear" w:color="auto" w:fill="auto"/>
            <w:vAlign w:val="bottom"/>
          </w:tcPr>
          <w:p w:rsidR="00BB2269" w:rsidRDefault="00BB2269" w:rsidP="00960DF2">
            <w:pPr>
              <w:spacing w:line="0" w:lineRule="atLeast"/>
              <w:rPr>
                <w:rFonts w:eastAsia="Times New Roman"/>
                <w:sz w:val="8"/>
              </w:rPr>
            </w:pPr>
          </w:p>
        </w:tc>
        <w:tc>
          <w:tcPr>
            <w:tcW w:w="300" w:type="dxa"/>
            <w:shd w:val="clear" w:color="auto" w:fill="auto"/>
            <w:vAlign w:val="bottom"/>
          </w:tcPr>
          <w:p w:rsidR="00BB2269" w:rsidRDefault="00BB2269" w:rsidP="00960DF2">
            <w:pPr>
              <w:spacing w:line="0" w:lineRule="atLeast"/>
              <w:rPr>
                <w:rFonts w:eastAsia="Times New Roman"/>
                <w:sz w:val="8"/>
              </w:rPr>
            </w:pPr>
          </w:p>
        </w:tc>
      </w:tr>
      <w:tr w:rsidR="00BB2269" w:rsidTr="00960DF2">
        <w:trPr>
          <w:trHeight w:val="100"/>
          <w:jc w:val="center"/>
        </w:trPr>
        <w:tc>
          <w:tcPr>
            <w:tcW w:w="84" w:type="dxa"/>
            <w:tcBorders>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256" w:type="dxa"/>
            <w:tcBorders>
              <w:lef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4800" w:type="dxa"/>
            <w:vMerge/>
            <w:tcBorders>
              <w:bottom w:val="single" w:sz="8" w:space="0" w:color="auto"/>
              <w:right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210" w:type="dxa"/>
            <w:gridSpan w:val="2"/>
            <w:tcBorders>
              <w:bottom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924" w:type="dxa"/>
            <w:gridSpan w:val="3"/>
            <w:tcBorders>
              <w:bottom w:val="single" w:sz="8" w:space="0" w:color="auto"/>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56" w:type="dxa"/>
            <w:tcBorders>
              <w:left w:val="single" w:sz="4" w:space="0" w:color="auto"/>
              <w:bottom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20" w:type="dxa"/>
            <w:tcBorders>
              <w:bottom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300" w:type="dxa"/>
            <w:shd w:val="clear" w:color="auto" w:fill="auto"/>
            <w:vAlign w:val="bottom"/>
          </w:tcPr>
          <w:p w:rsidR="00BB2269" w:rsidRDefault="00BB2269" w:rsidP="00960DF2">
            <w:pPr>
              <w:spacing w:line="0" w:lineRule="atLeast"/>
              <w:rPr>
                <w:rFonts w:eastAsia="Times New Roman"/>
                <w:sz w:val="8"/>
              </w:rPr>
            </w:pPr>
          </w:p>
        </w:tc>
      </w:tr>
      <w:tr w:rsidR="00BB2269" w:rsidTr="00960DF2">
        <w:trPr>
          <w:trHeight w:val="183"/>
          <w:jc w:val="center"/>
        </w:trPr>
        <w:tc>
          <w:tcPr>
            <w:tcW w:w="84" w:type="dxa"/>
            <w:tcBorders>
              <w:top w:val="single" w:sz="4" w:space="0" w:color="auto"/>
              <w:right w:val="single" w:sz="4" w:space="0" w:color="auto"/>
            </w:tcBorders>
            <w:shd w:val="clear" w:color="auto" w:fill="auto"/>
            <w:vAlign w:val="bottom"/>
          </w:tcPr>
          <w:p w:rsidR="00BB2269" w:rsidRDefault="00BB2269" w:rsidP="00960DF2">
            <w:pPr>
              <w:spacing w:line="0" w:lineRule="atLeast"/>
              <w:rPr>
                <w:rFonts w:eastAsia="Times New Roman"/>
                <w:sz w:val="15"/>
              </w:rPr>
            </w:pPr>
          </w:p>
        </w:tc>
        <w:tc>
          <w:tcPr>
            <w:tcW w:w="256" w:type="dxa"/>
            <w:tcBorders>
              <w:top w:val="single" w:sz="4" w:space="0" w:color="auto"/>
              <w:left w:val="single" w:sz="4" w:space="0" w:color="auto"/>
            </w:tcBorders>
            <w:shd w:val="clear" w:color="auto" w:fill="auto"/>
            <w:vAlign w:val="bottom"/>
          </w:tcPr>
          <w:p w:rsidR="00BB2269" w:rsidRDefault="00BB2269" w:rsidP="00960DF2">
            <w:pPr>
              <w:spacing w:line="0" w:lineRule="atLeast"/>
              <w:rPr>
                <w:rFonts w:eastAsia="Times New Roman"/>
                <w:sz w:val="15"/>
              </w:rPr>
            </w:pPr>
          </w:p>
        </w:tc>
        <w:tc>
          <w:tcPr>
            <w:tcW w:w="4800" w:type="dxa"/>
            <w:tcBorders>
              <w:right w:val="single" w:sz="8" w:space="0" w:color="auto"/>
            </w:tcBorders>
            <w:shd w:val="clear" w:color="auto" w:fill="auto"/>
            <w:vAlign w:val="bottom"/>
          </w:tcPr>
          <w:p w:rsidR="00BB2269" w:rsidRDefault="00BB2269" w:rsidP="00960DF2">
            <w:pPr>
              <w:spacing w:line="184" w:lineRule="exact"/>
              <w:ind w:left="120"/>
              <w:rPr>
                <w:sz w:val="16"/>
              </w:rPr>
            </w:pPr>
          </w:p>
        </w:tc>
        <w:tc>
          <w:tcPr>
            <w:tcW w:w="210" w:type="dxa"/>
            <w:gridSpan w:val="2"/>
            <w:shd w:val="clear" w:color="auto" w:fill="auto"/>
            <w:vAlign w:val="bottom"/>
          </w:tcPr>
          <w:p w:rsidR="00BB2269" w:rsidRDefault="00BB2269" w:rsidP="00960DF2">
            <w:pPr>
              <w:spacing w:line="0" w:lineRule="atLeast"/>
              <w:rPr>
                <w:rFonts w:eastAsia="Times New Roman"/>
                <w:sz w:val="15"/>
              </w:rPr>
            </w:pPr>
          </w:p>
        </w:tc>
        <w:tc>
          <w:tcPr>
            <w:tcW w:w="924" w:type="dxa"/>
            <w:gridSpan w:val="3"/>
            <w:vMerge w:val="restart"/>
            <w:tcBorders>
              <w:right w:val="single" w:sz="4" w:space="0" w:color="auto"/>
            </w:tcBorders>
            <w:shd w:val="clear" w:color="auto" w:fill="auto"/>
            <w:vAlign w:val="bottom"/>
          </w:tcPr>
          <w:p w:rsidR="00BB2269" w:rsidRDefault="00D7476C" w:rsidP="00960DF2">
            <w:pPr>
              <w:spacing w:line="0" w:lineRule="atLeast"/>
              <w:ind w:right="113"/>
              <w:jc w:val="center"/>
              <w:rPr>
                <w:w w:val="99"/>
                <w:sz w:val="16"/>
              </w:rPr>
            </w:pPr>
            <w:r>
              <w:rPr>
                <w:w w:val="99"/>
                <w:sz w:val="16"/>
              </w:rPr>
              <w:t>45</w:t>
            </w:r>
            <w:r w:rsidR="00BB2269">
              <w:rPr>
                <w:w w:val="99"/>
                <w:sz w:val="16"/>
              </w:rPr>
              <w:t xml:space="preserve"> (42.3%)</w:t>
            </w:r>
          </w:p>
        </w:tc>
        <w:tc>
          <w:tcPr>
            <w:tcW w:w="56" w:type="dxa"/>
            <w:vMerge w:val="restart"/>
            <w:tcBorders>
              <w:left w:val="single" w:sz="4" w:space="0" w:color="auto"/>
            </w:tcBorders>
            <w:shd w:val="clear" w:color="auto" w:fill="auto"/>
            <w:vAlign w:val="bottom"/>
          </w:tcPr>
          <w:p w:rsidR="00BB2269" w:rsidRDefault="00BB2269" w:rsidP="00960DF2">
            <w:pPr>
              <w:spacing w:line="0" w:lineRule="atLeast"/>
              <w:ind w:right="113"/>
              <w:jc w:val="center"/>
              <w:rPr>
                <w:w w:val="99"/>
                <w:sz w:val="16"/>
              </w:rPr>
            </w:pPr>
          </w:p>
        </w:tc>
        <w:tc>
          <w:tcPr>
            <w:tcW w:w="20" w:type="dxa"/>
            <w:shd w:val="clear" w:color="auto" w:fill="auto"/>
            <w:vAlign w:val="bottom"/>
          </w:tcPr>
          <w:p w:rsidR="00BB2269" w:rsidRDefault="00BB2269" w:rsidP="00960DF2">
            <w:pPr>
              <w:spacing w:line="0" w:lineRule="atLeast"/>
              <w:rPr>
                <w:rFonts w:eastAsia="Times New Roman"/>
                <w:sz w:val="15"/>
              </w:rPr>
            </w:pPr>
          </w:p>
        </w:tc>
        <w:tc>
          <w:tcPr>
            <w:tcW w:w="300" w:type="dxa"/>
            <w:shd w:val="clear" w:color="auto" w:fill="auto"/>
            <w:vAlign w:val="bottom"/>
          </w:tcPr>
          <w:p w:rsidR="00BB2269" w:rsidRDefault="00BB2269" w:rsidP="00960DF2">
            <w:pPr>
              <w:spacing w:line="0" w:lineRule="atLeast"/>
              <w:rPr>
                <w:rFonts w:eastAsia="Times New Roman"/>
                <w:sz w:val="15"/>
              </w:rPr>
            </w:pPr>
          </w:p>
        </w:tc>
      </w:tr>
      <w:tr w:rsidR="00BB2269" w:rsidTr="00960DF2">
        <w:trPr>
          <w:trHeight w:val="97"/>
          <w:jc w:val="center"/>
        </w:trPr>
        <w:tc>
          <w:tcPr>
            <w:tcW w:w="84" w:type="dxa"/>
            <w:tcBorders>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256" w:type="dxa"/>
            <w:tcBorders>
              <w:lef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4800" w:type="dxa"/>
            <w:vMerge w:val="restart"/>
            <w:tcBorders>
              <w:right w:val="single" w:sz="8" w:space="0" w:color="auto"/>
            </w:tcBorders>
            <w:shd w:val="clear" w:color="auto" w:fill="auto"/>
            <w:vAlign w:val="bottom"/>
          </w:tcPr>
          <w:p w:rsidR="00BB2269" w:rsidRDefault="004F543A" w:rsidP="00B01073">
            <w:pPr>
              <w:spacing w:line="0" w:lineRule="atLeast"/>
              <w:ind w:left="120"/>
              <w:jc w:val="center"/>
              <w:rPr>
                <w:sz w:val="16"/>
              </w:rPr>
            </w:pPr>
            <w:r>
              <w:rPr>
                <w:sz w:val="16"/>
              </w:rPr>
              <w:t>R</w:t>
            </w:r>
            <w:r w:rsidR="00BB2269">
              <w:rPr>
                <w:sz w:val="16"/>
              </w:rPr>
              <w:t>equired increased monitoring or intervention to preclude harm</w:t>
            </w:r>
          </w:p>
        </w:tc>
        <w:tc>
          <w:tcPr>
            <w:tcW w:w="210" w:type="dxa"/>
            <w:gridSpan w:val="2"/>
            <w:shd w:val="clear" w:color="auto" w:fill="auto"/>
            <w:vAlign w:val="bottom"/>
          </w:tcPr>
          <w:p w:rsidR="00BB2269" w:rsidRDefault="00BB2269" w:rsidP="00960DF2">
            <w:pPr>
              <w:spacing w:line="0" w:lineRule="atLeast"/>
              <w:rPr>
                <w:rFonts w:eastAsia="Times New Roman"/>
                <w:sz w:val="8"/>
              </w:rPr>
            </w:pPr>
          </w:p>
        </w:tc>
        <w:tc>
          <w:tcPr>
            <w:tcW w:w="924" w:type="dxa"/>
            <w:gridSpan w:val="3"/>
            <w:vMerge/>
            <w:tcBorders>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56" w:type="dxa"/>
            <w:vMerge/>
            <w:tcBorders>
              <w:lef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20" w:type="dxa"/>
            <w:shd w:val="clear" w:color="auto" w:fill="auto"/>
            <w:vAlign w:val="bottom"/>
          </w:tcPr>
          <w:p w:rsidR="00BB2269" w:rsidRDefault="00BB2269" w:rsidP="00960DF2">
            <w:pPr>
              <w:spacing w:line="0" w:lineRule="atLeast"/>
              <w:rPr>
                <w:rFonts w:eastAsia="Times New Roman"/>
                <w:sz w:val="8"/>
              </w:rPr>
            </w:pPr>
          </w:p>
        </w:tc>
        <w:tc>
          <w:tcPr>
            <w:tcW w:w="300" w:type="dxa"/>
            <w:shd w:val="clear" w:color="auto" w:fill="auto"/>
            <w:vAlign w:val="bottom"/>
          </w:tcPr>
          <w:p w:rsidR="00BB2269" w:rsidRDefault="00BB2269" w:rsidP="00960DF2">
            <w:pPr>
              <w:spacing w:line="0" w:lineRule="atLeast"/>
              <w:rPr>
                <w:rFonts w:eastAsia="Times New Roman"/>
                <w:sz w:val="8"/>
              </w:rPr>
            </w:pPr>
          </w:p>
        </w:tc>
      </w:tr>
      <w:tr w:rsidR="00BB2269" w:rsidTr="00960DF2">
        <w:trPr>
          <w:trHeight w:val="100"/>
          <w:jc w:val="center"/>
        </w:trPr>
        <w:tc>
          <w:tcPr>
            <w:tcW w:w="84" w:type="dxa"/>
            <w:tcBorders>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256" w:type="dxa"/>
            <w:tcBorders>
              <w:lef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4800" w:type="dxa"/>
            <w:vMerge/>
            <w:tcBorders>
              <w:bottom w:val="single" w:sz="8" w:space="0" w:color="auto"/>
              <w:right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210" w:type="dxa"/>
            <w:gridSpan w:val="2"/>
            <w:tcBorders>
              <w:bottom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924" w:type="dxa"/>
            <w:gridSpan w:val="3"/>
            <w:tcBorders>
              <w:bottom w:val="single" w:sz="8" w:space="0" w:color="auto"/>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56" w:type="dxa"/>
            <w:tcBorders>
              <w:left w:val="single" w:sz="4" w:space="0" w:color="auto"/>
              <w:bottom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20" w:type="dxa"/>
            <w:tcBorders>
              <w:bottom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300" w:type="dxa"/>
            <w:shd w:val="clear" w:color="auto" w:fill="auto"/>
            <w:vAlign w:val="bottom"/>
          </w:tcPr>
          <w:p w:rsidR="00BB2269" w:rsidRDefault="00BB2269" w:rsidP="00960DF2">
            <w:pPr>
              <w:spacing w:line="0" w:lineRule="atLeast"/>
              <w:rPr>
                <w:rFonts w:eastAsia="Times New Roman"/>
                <w:sz w:val="8"/>
              </w:rPr>
            </w:pPr>
          </w:p>
        </w:tc>
      </w:tr>
      <w:tr w:rsidR="00BB2269" w:rsidTr="00960DF2">
        <w:trPr>
          <w:trHeight w:val="182"/>
          <w:jc w:val="center"/>
        </w:trPr>
        <w:tc>
          <w:tcPr>
            <w:tcW w:w="84" w:type="dxa"/>
            <w:tcBorders>
              <w:top w:val="single" w:sz="4" w:space="0" w:color="auto"/>
              <w:right w:val="single" w:sz="4" w:space="0" w:color="auto"/>
            </w:tcBorders>
            <w:shd w:val="clear" w:color="auto" w:fill="auto"/>
            <w:vAlign w:val="bottom"/>
          </w:tcPr>
          <w:p w:rsidR="00BB2269" w:rsidRDefault="00BB2269" w:rsidP="00960DF2">
            <w:pPr>
              <w:spacing w:line="0" w:lineRule="atLeast"/>
              <w:rPr>
                <w:rFonts w:eastAsia="Times New Roman"/>
                <w:sz w:val="15"/>
              </w:rPr>
            </w:pPr>
          </w:p>
        </w:tc>
        <w:tc>
          <w:tcPr>
            <w:tcW w:w="256" w:type="dxa"/>
            <w:tcBorders>
              <w:top w:val="single" w:sz="4" w:space="0" w:color="auto"/>
              <w:left w:val="single" w:sz="4" w:space="0" w:color="auto"/>
            </w:tcBorders>
            <w:shd w:val="clear" w:color="auto" w:fill="auto"/>
            <w:vAlign w:val="bottom"/>
          </w:tcPr>
          <w:p w:rsidR="00BB2269" w:rsidRDefault="00BB2269" w:rsidP="00960DF2">
            <w:pPr>
              <w:spacing w:line="0" w:lineRule="atLeast"/>
              <w:rPr>
                <w:rFonts w:eastAsia="Times New Roman"/>
                <w:sz w:val="15"/>
              </w:rPr>
            </w:pPr>
          </w:p>
        </w:tc>
        <w:tc>
          <w:tcPr>
            <w:tcW w:w="4800" w:type="dxa"/>
            <w:tcBorders>
              <w:top w:val="single" w:sz="4" w:space="0" w:color="auto"/>
              <w:right w:val="single" w:sz="8" w:space="0" w:color="auto"/>
            </w:tcBorders>
            <w:shd w:val="clear" w:color="auto" w:fill="auto"/>
            <w:vAlign w:val="bottom"/>
          </w:tcPr>
          <w:p w:rsidR="00BB2269" w:rsidRDefault="00BB2269" w:rsidP="00960DF2">
            <w:pPr>
              <w:spacing w:line="182" w:lineRule="exact"/>
              <w:ind w:left="120"/>
              <w:rPr>
                <w:sz w:val="16"/>
              </w:rPr>
            </w:pPr>
          </w:p>
        </w:tc>
        <w:tc>
          <w:tcPr>
            <w:tcW w:w="210" w:type="dxa"/>
            <w:gridSpan w:val="2"/>
            <w:shd w:val="clear" w:color="auto" w:fill="auto"/>
            <w:vAlign w:val="bottom"/>
          </w:tcPr>
          <w:p w:rsidR="00BB2269" w:rsidRDefault="00BB2269" w:rsidP="00960DF2">
            <w:pPr>
              <w:spacing w:line="0" w:lineRule="atLeast"/>
              <w:rPr>
                <w:rFonts w:eastAsia="Times New Roman"/>
                <w:sz w:val="15"/>
              </w:rPr>
            </w:pPr>
          </w:p>
        </w:tc>
        <w:tc>
          <w:tcPr>
            <w:tcW w:w="924" w:type="dxa"/>
            <w:gridSpan w:val="3"/>
            <w:vMerge w:val="restart"/>
            <w:tcBorders>
              <w:right w:val="single" w:sz="4" w:space="0" w:color="auto"/>
            </w:tcBorders>
            <w:shd w:val="clear" w:color="auto" w:fill="auto"/>
            <w:vAlign w:val="bottom"/>
          </w:tcPr>
          <w:p w:rsidR="00BB2269" w:rsidRDefault="00FA3736" w:rsidP="00960DF2">
            <w:pPr>
              <w:spacing w:line="0" w:lineRule="atLeast"/>
              <w:ind w:right="113"/>
              <w:jc w:val="center"/>
              <w:rPr>
                <w:sz w:val="16"/>
              </w:rPr>
            </w:pPr>
            <w:r>
              <w:rPr>
                <w:sz w:val="16"/>
              </w:rPr>
              <w:t>21</w:t>
            </w:r>
            <w:r w:rsidR="00BB2269">
              <w:rPr>
                <w:sz w:val="16"/>
              </w:rPr>
              <w:t xml:space="preserve"> (19.8%)</w:t>
            </w:r>
          </w:p>
        </w:tc>
        <w:tc>
          <w:tcPr>
            <w:tcW w:w="56" w:type="dxa"/>
            <w:vMerge w:val="restart"/>
            <w:tcBorders>
              <w:left w:val="single" w:sz="4" w:space="0" w:color="auto"/>
            </w:tcBorders>
            <w:shd w:val="clear" w:color="auto" w:fill="auto"/>
            <w:vAlign w:val="bottom"/>
          </w:tcPr>
          <w:p w:rsidR="00BB2269" w:rsidRDefault="00BB2269" w:rsidP="00960DF2">
            <w:pPr>
              <w:spacing w:line="0" w:lineRule="atLeast"/>
              <w:ind w:right="113"/>
              <w:jc w:val="center"/>
              <w:rPr>
                <w:sz w:val="16"/>
              </w:rPr>
            </w:pPr>
          </w:p>
        </w:tc>
        <w:tc>
          <w:tcPr>
            <w:tcW w:w="20" w:type="dxa"/>
            <w:shd w:val="clear" w:color="auto" w:fill="auto"/>
            <w:vAlign w:val="bottom"/>
          </w:tcPr>
          <w:p w:rsidR="00BB2269" w:rsidRDefault="00BB2269" w:rsidP="00960DF2">
            <w:pPr>
              <w:spacing w:line="0" w:lineRule="atLeast"/>
              <w:rPr>
                <w:rFonts w:eastAsia="Times New Roman"/>
                <w:sz w:val="15"/>
              </w:rPr>
            </w:pPr>
          </w:p>
        </w:tc>
        <w:tc>
          <w:tcPr>
            <w:tcW w:w="300" w:type="dxa"/>
            <w:shd w:val="clear" w:color="auto" w:fill="auto"/>
            <w:vAlign w:val="bottom"/>
          </w:tcPr>
          <w:p w:rsidR="00BB2269" w:rsidRDefault="00BB2269" w:rsidP="00960DF2">
            <w:pPr>
              <w:spacing w:line="0" w:lineRule="atLeast"/>
              <w:rPr>
                <w:rFonts w:eastAsia="Times New Roman"/>
                <w:sz w:val="15"/>
              </w:rPr>
            </w:pPr>
          </w:p>
        </w:tc>
      </w:tr>
      <w:tr w:rsidR="00BB2269" w:rsidTr="00960DF2">
        <w:trPr>
          <w:trHeight w:val="98"/>
          <w:jc w:val="center"/>
        </w:trPr>
        <w:tc>
          <w:tcPr>
            <w:tcW w:w="84" w:type="dxa"/>
            <w:tcBorders>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256" w:type="dxa"/>
            <w:tcBorders>
              <w:lef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4800" w:type="dxa"/>
            <w:vMerge w:val="restart"/>
            <w:tcBorders>
              <w:right w:val="single" w:sz="8" w:space="0" w:color="auto"/>
            </w:tcBorders>
            <w:shd w:val="clear" w:color="auto" w:fill="auto"/>
            <w:vAlign w:val="bottom"/>
          </w:tcPr>
          <w:p w:rsidR="00BB2269" w:rsidRDefault="00B20C91" w:rsidP="00B01073">
            <w:pPr>
              <w:spacing w:line="0" w:lineRule="atLeast"/>
              <w:jc w:val="center"/>
              <w:rPr>
                <w:sz w:val="16"/>
              </w:rPr>
            </w:pPr>
            <w:r>
              <w:rPr>
                <w:sz w:val="16"/>
              </w:rPr>
              <w:t>Potential harm</w:t>
            </w:r>
          </w:p>
        </w:tc>
        <w:tc>
          <w:tcPr>
            <w:tcW w:w="210" w:type="dxa"/>
            <w:gridSpan w:val="2"/>
            <w:shd w:val="clear" w:color="auto" w:fill="auto"/>
            <w:vAlign w:val="bottom"/>
          </w:tcPr>
          <w:p w:rsidR="00BB2269" w:rsidRDefault="00BB2269" w:rsidP="00960DF2">
            <w:pPr>
              <w:spacing w:line="0" w:lineRule="atLeast"/>
              <w:rPr>
                <w:rFonts w:eastAsia="Times New Roman"/>
                <w:sz w:val="8"/>
              </w:rPr>
            </w:pPr>
          </w:p>
        </w:tc>
        <w:tc>
          <w:tcPr>
            <w:tcW w:w="924" w:type="dxa"/>
            <w:gridSpan w:val="3"/>
            <w:vMerge/>
            <w:tcBorders>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56" w:type="dxa"/>
            <w:vMerge/>
            <w:tcBorders>
              <w:lef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20" w:type="dxa"/>
            <w:shd w:val="clear" w:color="auto" w:fill="auto"/>
            <w:vAlign w:val="bottom"/>
          </w:tcPr>
          <w:p w:rsidR="00BB2269" w:rsidRDefault="00BB2269" w:rsidP="00960DF2">
            <w:pPr>
              <w:spacing w:line="0" w:lineRule="atLeast"/>
              <w:rPr>
                <w:rFonts w:eastAsia="Times New Roman"/>
                <w:sz w:val="8"/>
              </w:rPr>
            </w:pPr>
          </w:p>
        </w:tc>
        <w:tc>
          <w:tcPr>
            <w:tcW w:w="300" w:type="dxa"/>
            <w:shd w:val="clear" w:color="auto" w:fill="auto"/>
            <w:vAlign w:val="bottom"/>
          </w:tcPr>
          <w:p w:rsidR="00BB2269" w:rsidRDefault="00BB2269" w:rsidP="00960DF2">
            <w:pPr>
              <w:spacing w:line="0" w:lineRule="atLeast"/>
              <w:rPr>
                <w:rFonts w:eastAsia="Times New Roman"/>
                <w:sz w:val="8"/>
              </w:rPr>
            </w:pPr>
          </w:p>
        </w:tc>
      </w:tr>
      <w:tr w:rsidR="00BB2269" w:rsidTr="00960DF2">
        <w:trPr>
          <w:trHeight w:val="100"/>
          <w:jc w:val="center"/>
        </w:trPr>
        <w:tc>
          <w:tcPr>
            <w:tcW w:w="84" w:type="dxa"/>
            <w:tcBorders>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256" w:type="dxa"/>
            <w:tcBorders>
              <w:lef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4800" w:type="dxa"/>
            <w:vMerge/>
            <w:tcBorders>
              <w:bottom w:val="single" w:sz="8" w:space="0" w:color="auto"/>
              <w:right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210" w:type="dxa"/>
            <w:gridSpan w:val="2"/>
            <w:tcBorders>
              <w:bottom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924" w:type="dxa"/>
            <w:gridSpan w:val="3"/>
            <w:tcBorders>
              <w:bottom w:val="single" w:sz="8" w:space="0" w:color="auto"/>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56" w:type="dxa"/>
            <w:tcBorders>
              <w:left w:val="single" w:sz="4" w:space="0" w:color="auto"/>
              <w:bottom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20" w:type="dxa"/>
            <w:tcBorders>
              <w:bottom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300" w:type="dxa"/>
            <w:shd w:val="clear" w:color="auto" w:fill="auto"/>
            <w:vAlign w:val="bottom"/>
          </w:tcPr>
          <w:p w:rsidR="00BB2269" w:rsidRDefault="00BB2269" w:rsidP="00960DF2">
            <w:pPr>
              <w:spacing w:line="0" w:lineRule="atLeast"/>
              <w:rPr>
                <w:rFonts w:eastAsia="Times New Roman"/>
                <w:sz w:val="8"/>
              </w:rPr>
            </w:pPr>
          </w:p>
        </w:tc>
      </w:tr>
      <w:tr w:rsidR="00BB2269" w:rsidTr="00960DF2">
        <w:trPr>
          <w:trHeight w:val="324"/>
          <w:jc w:val="center"/>
        </w:trPr>
        <w:tc>
          <w:tcPr>
            <w:tcW w:w="84" w:type="dxa"/>
            <w:tcBorders>
              <w:top w:val="single" w:sz="4" w:space="0" w:color="auto"/>
              <w:bottom w:val="single" w:sz="4" w:space="0" w:color="auto"/>
              <w:righ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256" w:type="dxa"/>
            <w:vMerge w:val="restart"/>
            <w:tcBorders>
              <w:top w:val="single" w:sz="4" w:space="0" w:color="auto"/>
              <w:lef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4800" w:type="dxa"/>
            <w:vMerge w:val="restart"/>
            <w:tcBorders>
              <w:top w:val="single" w:sz="4" w:space="0" w:color="auto"/>
            </w:tcBorders>
            <w:shd w:val="clear" w:color="auto" w:fill="auto"/>
            <w:vAlign w:val="bottom"/>
          </w:tcPr>
          <w:p w:rsidR="00BB2269" w:rsidRDefault="00BB2269" w:rsidP="00960DF2">
            <w:pPr>
              <w:spacing w:line="182" w:lineRule="exact"/>
              <w:ind w:left="120"/>
              <w:rPr>
                <w:sz w:val="16"/>
              </w:rPr>
            </w:pPr>
            <w:r>
              <w:rPr>
                <w:sz w:val="16"/>
              </w:rPr>
              <w:t>** p &lt;0.05</w:t>
            </w:r>
          </w:p>
        </w:tc>
        <w:tc>
          <w:tcPr>
            <w:tcW w:w="210" w:type="dxa"/>
            <w:gridSpan w:val="2"/>
            <w:vMerge w:val="restart"/>
            <w:shd w:val="clear" w:color="auto" w:fill="auto"/>
            <w:vAlign w:val="bottom"/>
          </w:tcPr>
          <w:p w:rsidR="00BB2269" w:rsidRDefault="00BB2269" w:rsidP="00960DF2">
            <w:pPr>
              <w:spacing w:line="0" w:lineRule="atLeast"/>
              <w:rPr>
                <w:rFonts w:eastAsia="Times New Roman"/>
                <w:sz w:val="16"/>
              </w:rPr>
            </w:pPr>
          </w:p>
        </w:tc>
        <w:tc>
          <w:tcPr>
            <w:tcW w:w="924" w:type="dxa"/>
            <w:gridSpan w:val="3"/>
            <w:vMerge w:val="restart"/>
            <w:tcBorders>
              <w:righ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56" w:type="dxa"/>
            <w:vMerge w:val="restart"/>
            <w:tcBorders>
              <w:lef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20" w:type="dxa"/>
            <w:vMerge w:val="restart"/>
            <w:shd w:val="clear" w:color="auto" w:fill="auto"/>
            <w:vAlign w:val="bottom"/>
          </w:tcPr>
          <w:p w:rsidR="00BB2269" w:rsidRDefault="00BB2269" w:rsidP="00960DF2">
            <w:pPr>
              <w:spacing w:line="0" w:lineRule="atLeast"/>
              <w:rPr>
                <w:rFonts w:eastAsia="Times New Roman"/>
                <w:sz w:val="16"/>
              </w:rPr>
            </w:pPr>
          </w:p>
        </w:tc>
        <w:tc>
          <w:tcPr>
            <w:tcW w:w="300" w:type="dxa"/>
            <w:vMerge w:val="restart"/>
            <w:shd w:val="clear" w:color="auto" w:fill="auto"/>
            <w:vAlign w:val="bottom"/>
          </w:tcPr>
          <w:p w:rsidR="00BB2269" w:rsidRDefault="00BB2269" w:rsidP="00960DF2">
            <w:pPr>
              <w:spacing w:line="0" w:lineRule="atLeast"/>
              <w:rPr>
                <w:rFonts w:eastAsia="Times New Roman"/>
                <w:sz w:val="16"/>
              </w:rPr>
            </w:pPr>
          </w:p>
        </w:tc>
      </w:tr>
      <w:tr w:rsidR="00BB2269" w:rsidTr="00960DF2">
        <w:trPr>
          <w:trHeight w:val="24"/>
          <w:jc w:val="center"/>
        </w:trPr>
        <w:tc>
          <w:tcPr>
            <w:tcW w:w="84" w:type="dxa"/>
            <w:tcBorders>
              <w:top w:val="single" w:sz="4" w:space="0" w:color="auto"/>
              <w:bottom w:val="single" w:sz="4" w:space="0" w:color="auto"/>
              <w:righ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256" w:type="dxa"/>
            <w:vMerge/>
            <w:tcBorders>
              <w:left w:val="single" w:sz="4" w:space="0" w:color="auto"/>
              <w:bottom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4800" w:type="dxa"/>
            <w:vMerge/>
            <w:tcBorders>
              <w:bottom w:val="single" w:sz="4" w:space="0" w:color="auto"/>
            </w:tcBorders>
            <w:shd w:val="clear" w:color="auto" w:fill="auto"/>
            <w:vAlign w:val="bottom"/>
          </w:tcPr>
          <w:p w:rsidR="00BB2269" w:rsidRDefault="00BB2269" w:rsidP="00960DF2">
            <w:pPr>
              <w:spacing w:line="182" w:lineRule="exact"/>
              <w:ind w:left="120"/>
              <w:rPr>
                <w:sz w:val="16"/>
              </w:rPr>
            </w:pPr>
          </w:p>
        </w:tc>
        <w:tc>
          <w:tcPr>
            <w:tcW w:w="210" w:type="dxa"/>
            <w:gridSpan w:val="2"/>
            <w:vMerge/>
            <w:tcBorders>
              <w:bottom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924" w:type="dxa"/>
            <w:gridSpan w:val="3"/>
            <w:vMerge/>
            <w:tcBorders>
              <w:bottom w:val="single" w:sz="8" w:space="0" w:color="auto"/>
              <w:righ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56" w:type="dxa"/>
            <w:vMerge/>
            <w:tcBorders>
              <w:left w:val="single" w:sz="4" w:space="0" w:color="auto"/>
              <w:bottom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20" w:type="dxa"/>
            <w:vMerge/>
            <w:tcBorders>
              <w:bottom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300" w:type="dxa"/>
            <w:vMerge/>
            <w:shd w:val="clear" w:color="auto" w:fill="auto"/>
            <w:vAlign w:val="bottom"/>
          </w:tcPr>
          <w:p w:rsidR="00BB2269" w:rsidRDefault="00BB2269" w:rsidP="00960DF2">
            <w:pPr>
              <w:spacing w:line="0" w:lineRule="atLeast"/>
              <w:rPr>
                <w:rFonts w:eastAsia="Times New Roman"/>
                <w:sz w:val="16"/>
              </w:rPr>
            </w:pPr>
          </w:p>
        </w:tc>
      </w:tr>
    </w:tbl>
    <w:p w:rsidR="00BB2269" w:rsidRDefault="00BB2269" w:rsidP="00BB2269">
      <w:pPr>
        <w:spacing w:line="480" w:lineRule="auto"/>
        <w:rPr>
          <w:rFonts w:cs="Times New Roman"/>
          <w:b/>
          <w:szCs w:val="24"/>
        </w:rPr>
      </w:pPr>
    </w:p>
    <w:p w:rsidR="00BB2269" w:rsidRPr="00122D04" w:rsidRDefault="00BB2269" w:rsidP="00122D04">
      <w:pPr>
        <w:pStyle w:val="Heading2"/>
        <w:spacing w:line="480" w:lineRule="auto"/>
        <w:rPr>
          <w:rFonts w:ascii="Times New Roman" w:eastAsia="Times New Roman" w:hAnsi="Times New Roman" w:cs="Times New Roman"/>
          <w:color w:val="000000" w:themeColor="text1"/>
          <w:sz w:val="24"/>
          <w:szCs w:val="24"/>
        </w:rPr>
      </w:pPr>
      <w:bookmarkStart w:id="20" w:name="_Toc15143776"/>
      <w:r w:rsidRPr="00122D04">
        <w:rPr>
          <w:rFonts w:ascii="Times New Roman" w:hAnsi="Times New Roman" w:cs="Times New Roman"/>
          <w:color w:val="000000" w:themeColor="text1"/>
          <w:sz w:val="24"/>
          <w:szCs w:val="24"/>
        </w:rPr>
        <w:t>Logistic Regression Results for Risk Factors</w:t>
      </w:r>
      <w:bookmarkEnd w:id="20"/>
    </w:p>
    <w:p w:rsidR="00BB2269" w:rsidRDefault="00BB2269" w:rsidP="00BB2269">
      <w:pPr>
        <w:spacing w:line="480" w:lineRule="auto"/>
        <w:jc w:val="both"/>
        <w:rPr>
          <w:rFonts w:cs="Times New Roman"/>
          <w:szCs w:val="24"/>
        </w:rPr>
      </w:pPr>
      <w:r>
        <w:rPr>
          <w:rFonts w:cs="Times New Roman"/>
          <w:szCs w:val="24"/>
        </w:rPr>
        <w:t xml:space="preserve">Table 5 displays the results of the multivariate logistic regression analysis for the association of the risk factors with the occurrence of the medication errors. Patients with 65 years and above </w:t>
      </w:r>
      <w:r w:rsidRPr="009D68A1">
        <w:rPr>
          <w:rFonts w:cs="Times New Roman"/>
          <w:szCs w:val="24"/>
        </w:rPr>
        <w:t xml:space="preserve">(OR=2.7; 95%CI: 1.5 - 5.1, p&lt;0.05);use of </w:t>
      </w:r>
      <w:r w:rsidR="00FB7888">
        <w:rPr>
          <w:rFonts w:cs="Times New Roman"/>
          <w:szCs w:val="24"/>
        </w:rPr>
        <w:t>high-risk medications (</w:t>
      </w:r>
      <w:r w:rsidRPr="009D68A1">
        <w:rPr>
          <w:rFonts w:cs="Times New Roman"/>
          <w:szCs w:val="24"/>
        </w:rPr>
        <w:t>OR=2.6; 95%CI: 1.1–6.2, p&lt;0.01)</w:t>
      </w:r>
      <w:r>
        <w:rPr>
          <w:rFonts w:cs="Times New Roman"/>
          <w:szCs w:val="24"/>
        </w:rPr>
        <w:t xml:space="preserve">, and polypharmacy </w:t>
      </w:r>
      <w:r w:rsidRPr="009D68A1">
        <w:rPr>
          <w:rFonts w:cs="Times New Roman"/>
          <w:szCs w:val="24"/>
        </w:rPr>
        <w:t>(OR</w:t>
      </w:r>
      <w:r>
        <w:rPr>
          <w:rFonts w:cs="Times New Roman"/>
          <w:szCs w:val="24"/>
        </w:rPr>
        <w:t>=5.3; 95%CI: 2.4–11.6, p&lt;0.05)</w:t>
      </w:r>
      <w:r w:rsidRPr="009D68A1">
        <w:rPr>
          <w:rFonts w:cs="Times New Roman"/>
          <w:szCs w:val="24"/>
        </w:rPr>
        <w:t xml:space="preserve"> were </w:t>
      </w:r>
      <w:r>
        <w:rPr>
          <w:rFonts w:cs="Times New Roman"/>
          <w:szCs w:val="24"/>
        </w:rPr>
        <w:t xml:space="preserve">the </w:t>
      </w:r>
      <w:r w:rsidRPr="009D68A1">
        <w:rPr>
          <w:rFonts w:cs="Times New Roman"/>
          <w:szCs w:val="24"/>
        </w:rPr>
        <w:t xml:space="preserve">risk factors autonomously related with an increased risk for these errors. </w:t>
      </w:r>
      <w:r>
        <w:rPr>
          <w:rFonts w:cs="Times New Roman"/>
          <w:szCs w:val="24"/>
        </w:rPr>
        <w:t xml:space="preserve">While presenting a medication list at the time of admission was important and beneficial to the study, the results did not show this aspect to be statistically significant </w:t>
      </w:r>
      <w:r w:rsidRPr="009D68A1">
        <w:rPr>
          <w:rFonts w:cs="Times New Roman"/>
          <w:szCs w:val="24"/>
        </w:rPr>
        <w:t>(OR=0.</w:t>
      </w:r>
      <w:r>
        <w:rPr>
          <w:rFonts w:cs="Times New Roman"/>
          <w:szCs w:val="24"/>
        </w:rPr>
        <w:t>73; 95%CI: 0.20–1.43). The</w:t>
      </w:r>
      <w:r w:rsidRPr="009D68A1">
        <w:rPr>
          <w:rFonts w:cs="Times New Roman"/>
          <w:szCs w:val="24"/>
        </w:rPr>
        <w:t xml:space="preserve"> equation of regression model was:</w:t>
      </w:r>
    </w:p>
    <w:p w:rsidR="00BB2269" w:rsidRPr="00D1251E" w:rsidRDefault="00BB2269" w:rsidP="00BB2269">
      <w:pPr>
        <w:spacing w:line="480" w:lineRule="auto"/>
        <w:jc w:val="both"/>
        <w:rPr>
          <w:rFonts w:cs="Times New Roman"/>
          <w:szCs w:val="24"/>
        </w:rPr>
      </w:pPr>
      <w:r w:rsidRPr="009D68A1">
        <w:rPr>
          <w:rFonts w:cs="Times New Roman"/>
          <w:noProof/>
          <w:szCs w:val="24"/>
        </w:rPr>
        <w:drawing>
          <wp:anchor distT="0" distB="0" distL="114300" distR="114300" simplePos="0" relativeHeight="251659264" behindDoc="1" locked="0" layoutInCell="1" allowOverlap="1">
            <wp:simplePos x="0" y="0"/>
            <wp:positionH relativeFrom="column">
              <wp:posOffset>152400</wp:posOffset>
            </wp:positionH>
            <wp:positionV relativeFrom="paragraph">
              <wp:posOffset>77470</wp:posOffset>
            </wp:positionV>
            <wp:extent cx="2822575" cy="280035"/>
            <wp:effectExtent l="19050" t="0" r="0" b="0"/>
            <wp:wrapNone/>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srcRect/>
                    <a:stretch>
                      <a:fillRect/>
                    </a:stretch>
                  </pic:blipFill>
                  <pic:spPr bwMode="auto">
                    <a:xfrm>
                      <a:off x="0" y="0"/>
                      <a:ext cx="2822575" cy="280035"/>
                    </a:xfrm>
                    <a:prstGeom prst="rect">
                      <a:avLst/>
                    </a:prstGeom>
                    <a:noFill/>
                  </pic:spPr>
                </pic:pic>
              </a:graphicData>
            </a:graphic>
          </wp:anchor>
        </w:drawing>
      </w:r>
    </w:p>
    <w:p w:rsidR="005E366C" w:rsidRPr="00062A37" w:rsidRDefault="00BB2269" w:rsidP="005E366C">
      <w:pPr>
        <w:spacing w:line="480" w:lineRule="auto"/>
        <w:jc w:val="both"/>
      </w:pPr>
      <w:r>
        <w:rPr>
          <w:rFonts w:cs="Times New Roman"/>
          <w:szCs w:val="24"/>
        </w:rPr>
        <w:t>Where, P_</w:t>
      </w:r>
      <w:r w:rsidRPr="009D68A1">
        <w:rPr>
          <w:rFonts w:cs="Times New Roman"/>
          <w:szCs w:val="24"/>
        </w:rPr>
        <w:t>error=</w:t>
      </w:r>
      <w:r w:rsidR="004970AF">
        <w:rPr>
          <w:rFonts w:cs="Times New Roman"/>
          <w:szCs w:val="24"/>
        </w:rPr>
        <w:t xml:space="preserve"> Probability of </w:t>
      </w:r>
      <w:r>
        <w:rPr>
          <w:rFonts w:cs="Times New Roman"/>
          <w:szCs w:val="24"/>
        </w:rPr>
        <w:t>medication</w:t>
      </w:r>
      <w:r w:rsidR="004970AF">
        <w:rPr>
          <w:rFonts w:cs="Times New Roman"/>
          <w:szCs w:val="24"/>
        </w:rPr>
        <w:t xml:space="preserve"> </w:t>
      </w:r>
      <w:r w:rsidRPr="009D68A1">
        <w:rPr>
          <w:rFonts w:cs="Times New Roman"/>
          <w:szCs w:val="24"/>
        </w:rPr>
        <w:t>error</w:t>
      </w:r>
      <w:r w:rsidR="00EE6556" w:rsidRPr="009D68A1">
        <w:rPr>
          <w:rFonts w:cs="Times New Roman"/>
          <w:szCs w:val="24"/>
        </w:rPr>
        <w:t xml:space="preserve">; </w:t>
      </w:r>
      <w:r w:rsidR="00EE6556">
        <w:rPr>
          <w:rFonts w:cs="Times New Roman"/>
          <w:szCs w:val="24"/>
        </w:rPr>
        <w:t>W</w:t>
      </w:r>
      <w:r w:rsidRPr="009D68A1">
        <w:rPr>
          <w:rFonts w:cs="Times New Roman"/>
          <w:szCs w:val="24"/>
        </w:rPr>
        <w:t>=</w:t>
      </w:r>
      <w:r w:rsidR="00304139">
        <w:rPr>
          <w:rFonts w:cs="Times New Roman"/>
          <w:szCs w:val="24"/>
        </w:rPr>
        <w:t xml:space="preserve"> </w:t>
      </w:r>
      <w:r>
        <w:rPr>
          <w:rFonts w:cs="Times New Roman"/>
          <w:szCs w:val="24"/>
        </w:rPr>
        <w:t xml:space="preserve">warfarin treatment; </w:t>
      </w:r>
      <w:r w:rsidRPr="009D68A1">
        <w:rPr>
          <w:rFonts w:cs="Times New Roman"/>
          <w:szCs w:val="24"/>
        </w:rPr>
        <w:t>H=hypoglycemic drugs</w:t>
      </w:r>
      <w:r>
        <w:rPr>
          <w:rFonts w:cs="Times New Roman"/>
          <w:szCs w:val="24"/>
        </w:rPr>
        <w:t>;</w:t>
      </w:r>
      <w:r w:rsidR="001B5324">
        <w:rPr>
          <w:rFonts w:cs="Times New Roman"/>
          <w:szCs w:val="24"/>
        </w:rPr>
        <w:t xml:space="preserve"> </w:t>
      </w:r>
      <w:r>
        <w:rPr>
          <w:rFonts w:cs="Times New Roman"/>
          <w:szCs w:val="24"/>
        </w:rPr>
        <w:t xml:space="preserve">and </w:t>
      </w:r>
      <w:r w:rsidRPr="009D68A1">
        <w:rPr>
          <w:rFonts w:cs="Times New Roman"/>
          <w:szCs w:val="24"/>
        </w:rPr>
        <w:t>P=polypharmacy</w:t>
      </w:r>
      <w:r w:rsidR="001B5324">
        <w:rPr>
          <w:rFonts w:cs="Times New Roman"/>
          <w:szCs w:val="24"/>
        </w:rPr>
        <w:t>.</w:t>
      </w:r>
      <w:r w:rsidR="00D92C22">
        <w:rPr>
          <w:rFonts w:cs="Times New Roman"/>
          <w:szCs w:val="24"/>
        </w:rPr>
        <w:t xml:space="preserve"> </w:t>
      </w:r>
      <w:r>
        <w:rPr>
          <w:rFonts w:cs="Times New Roman"/>
          <w:szCs w:val="24"/>
        </w:rPr>
        <w:t xml:space="preserve">The appropriate cutoff point for medication error was 0.71 with a positive predictive value of 81.8%, the negative predictive value was 62.9%, a specificity of 69.5%, and a sensitivity of 78.2%. </w:t>
      </w:r>
    </w:p>
    <w:p w:rsidR="00BB2269" w:rsidRPr="00062A37" w:rsidRDefault="005E366C" w:rsidP="00BB2269">
      <w:pPr>
        <w:pStyle w:val="Caption"/>
        <w:keepNext/>
        <w:jc w:val="both"/>
        <w:rPr>
          <w:color w:val="auto"/>
        </w:rPr>
      </w:pPr>
      <w:r>
        <w:rPr>
          <w:color w:val="auto"/>
        </w:rPr>
        <w:t>T</w:t>
      </w:r>
      <w:r w:rsidR="00BB2269" w:rsidRPr="00062A37">
        <w:rPr>
          <w:color w:val="auto"/>
        </w:rPr>
        <w:t xml:space="preserve">able </w:t>
      </w:r>
      <w:r w:rsidR="0064503B">
        <w:rPr>
          <w:color w:val="auto"/>
        </w:rPr>
        <w:t>7</w:t>
      </w:r>
      <w:r w:rsidR="00BB2269" w:rsidRPr="00062A37">
        <w:rPr>
          <w:color w:val="auto"/>
        </w:rPr>
        <w:t>: Factors associated with the errors in medication reconciliation</w:t>
      </w:r>
    </w:p>
    <w:tbl>
      <w:tblPr>
        <w:tblStyle w:val="TableGrid"/>
        <w:tblW w:w="0" w:type="auto"/>
        <w:tblLook w:val="04A0"/>
      </w:tblPr>
      <w:tblGrid>
        <w:gridCol w:w="1915"/>
        <w:gridCol w:w="1915"/>
        <w:gridCol w:w="1915"/>
        <w:gridCol w:w="1915"/>
        <w:gridCol w:w="1916"/>
      </w:tblGrid>
      <w:tr w:rsidR="00C65D04" w:rsidTr="00BC54DB">
        <w:tc>
          <w:tcPr>
            <w:tcW w:w="1915" w:type="dxa"/>
          </w:tcPr>
          <w:p w:rsidR="00C65D04" w:rsidRDefault="00C65D04" w:rsidP="00122D04">
            <w:pPr>
              <w:pStyle w:val="Heading2"/>
              <w:spacing w:line="480" w:lineRule="auto"/>
              <w:outlineLvl w:val="1"/>
              <w:rPr>
                <w:rFonts w:ascii="Times New Roman" w:hAnsi="Times New Roman" w:cs="Times New Roman"/>
                <w:color w:val="000000" w:themeColor="text1"/>
                <w:sz w:val="24"/>
                <w:szCs w:val="24"/>
              </w:rPr>
            </w:pPr>
            <w:bookmarkStart w:id="21" w:name="_Toc15143777"/>
          </w:p>
        </w:tc>
        <w:tc>
          <w:tcPr>
            <w:tcW w:w="3830" w:type="dxa"/>
            <w:gridSpan w:val="2"/>
          </w:tcPr>
          <w:p w:rsidR="00C65D04" w:rsidRDefault="00C65D04" w:rsidP="00122D04">
            <w:pPr>
              <w:pStyle w:val="Heading2"/>
              <w:spacing w:line="480" w:lineRule="auto"/>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Univariate Analysis</w:t>
            </w:r>
          </w:p>
        </w:tc>
        <w:tc>
          <w:tcPr>
            <w:tcW w:w="3831" w:type="dxa"/>
            <w:gridSpan w:val="2"/>
          </w:tcPr>
          <w:p w:rsidR="00C65D04" w:rsidRDefault="00C65D04" w:rsidP="00122D04">
            <w:pPr>
              <w:pStyle w:val="Heading2"/>
              <w:spacing w:line="480" w:lineRule="auto"/>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Multivariate Analysis</w:t>
            </w:r>
          </w:p>
        </w:tc>
      </w:tr>
      <w:tr w:rsidR="00C65D04" w:rsidRPr="0048007B" w:rsidTr="00C65D04">
        <w:tc>
          <w:tcPr>
            <w:tcW w:w="1915" w:type="dxa"/>
          </w:tcPr>
          <w:p w:rsidR="00C65D04" w:rsidRDefault="00C65D04" w:rsidP="00122D04">
            <w:pPr>
              <w:pStyle w:val="Heading2"/>
              <w:spacing w:line="480" w:lineRule="auto"/>
              <w:outlineLvl w:val="1"/>
              <w:rPr>
                <w:rFonts w:ascii="Times New Roman" w:hAnsi="Times New Roman" w:cs="Times New Roman"/>
                <w:color w:val="000000" w:themeColor="text1"/>
                <w:sz w:val="24"/>
                <w:szCs w:val="24"/>
              </w:rPr>
            </w:pPr>
          </w:p>
        </w:tc>
        <w:tc>
          <w:tcPr>
            <w:tcW w:w="1915" w:type="dxa"/>
          </w:tcPr>
          <w:p w:rsidR="00C65D04" w:rsidRPr="0048007B" w:rsidRDefault="00C65D04"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Odd ratio</w:t>
            </w:r>
          </w:p>
        </w:tc>
        <w:tc>
          <w:tcPr>
            <w:tcW w:w="1915" w:type="dxa"/>
          </w:tcPr>
          <w:p w:rsidR="00C65D04" w:rsidRPr="0048007B" w:rsidRDefault="00C65D04"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95 % CI</w:t>
            </w:r>
          </w:p>
        </w:tc>
        <w:tc>
          <w:tcPr>
            <w:tcW w:w="1915" w:type="dxa"/>
          </w:tcPr>
          <w:p w:rsidR="00C65D04" w:rsidRPr="0048007B" w:rsidRDefault="00C65D04"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Odd ratio</w:t>
            </w:r>
          </w:p>
        </w:tc>
        <w:tc>
          <w:tcPr>
            <w:tcW w:w="1916" w:type="dxa"/>
          </w:tcPr>
          <w:p w:rsidR="00C65D04" w:rsidRPr="0048007B" w:rsidRDefault="00C65D04"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95 % CI</w:t>
            </w:r>
          </w:p>
        </w:tc>
      </w:tr>
      <w:tr w:rsidR="00C65D04" w:rsidRPr="0048007B" w:rsidTr="00C65D04">
        <w:tc>
          <w:tcPr>
            <w:tcW w:w="1915" w:type="dxa"/>
          </w:tcPr>
          <w:p w:rsidR="00C65D04" w:rsidRPr="0048007B" w:rsidRDefault="00C65D04"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Gender      Male</w:t>
            </w:r>
          </w:p>
          <w:p w:rsidR="00C65D04" w:rsidRPr="0048007B" w:rsidRDefault="00C65D04" w:rsidP="00C65D04">
            <w:r w:rsidRPr="0048007B">
              <w:t xml:space="preserve">                Female  </w:t>
            </w:r>
          </w:p>
        </w:tc>
        <w:tc>
          <w:tcPr>
            <w:tcW w:w="1915" w:type="dxa"/>
          </w:tcPr>
          <w:p w:rsidR="00C65D04" w:rsidRPr="0048007B" w:rsidRDefault="00C65D04"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0.79</w:t>
            </w:r>
          </w:p>
          <w:p w:rsidR="00C65D04" w:rsidRPr="0048007B" w:rsidRDefault="00C65D04" w:rsidP="00C65D04">
            <w:r w:rsidRPr="0048007B">
              <w:t>Ref.</w:t>
            </w:r>
          </w:p>
        </w:tc>
        <w:tc>
          <w:tcPr>
            <w:tcW w:w="1915" w:type="dxa"/>
          </w:tcPr>
          <w:p w:rsidR="00C65D04" w:rsidRPr="0048007B" w:rsidRDefault="00C65D04"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0.3 - 0.9</w:t>
            </w:r>
          </w:p>
        </w:tc>
        <w:tc>
          <w:tcPr>
            <w:tcW w:w="1915" w:type="dxa"/>
          </w:tcPr>
          <w:p w:rsidR="00C65D04" w:rsidRPr="0048007B" w:rsidRDefault="00F1132D"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w:t>
            </w:r>
          </w:p>
        </w:tc>
        <w:tc>
          <w:tcPr>
            <w:tcW w:w="1916" w:type="dxa"/>
          </w:tcPr>
          <w:p w:rsidR="00C65D04" w:rsidRPr="0048007B" w:rsidRDefault="00625983"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w:t>
            </w:r>
          </w:p>
        </w:tc>
      </w:tr>
      <w:tr w:rsidR="00C65D04" w:rsidRPr="0048007B" w:rsidTr="00C65D04">
        <w:tc>
          <w:tcPr>
            <w:tcW w:w="1915" w:type="dxa"/>
          </w:tcPr>
          <w:p w:rsidR="00C65D04" w:rsidRPr="0048007B" w:rsidRDefault="00C65D04"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Age group    &gt;65</w:t>
            </w:r>
          </w:p>
          <w:p w:rsidR="00C65D04" w:rsidRPr="0048007B" w:rsidRDefault="00C65D04" w:rsidP="00C65D04">
            <w:r w:rsidRPr="0048007B">
              <w:t xml:space="preserve">                      &lt;65</w:t>
            </w:r>
          </w:p>
        </w:tc>
        <w:tc>
          <w:tcPr>
            <w:tcW w:w="1915" w:type="dxa"/>
          </w:tcPr>
          <w:p w:rsidR="00C65D04" w:rsidRPr="0048007B" w:rsidRDefault="00C65D04"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3.62</w:t>
            </w:r>
          </w:p>
          <w:p w:rsidR="00C65D04" w:rsidRPr="0048007B" w:rsidRDefault="00C65D04" w:rsidP="00C65D04">
            <w:r w:rsidRPr="0048007B">
              <w:t>Ref.</w:t>
            </w:r>
          </w:p>
        </w:tc>
        <w:tc>
          <w:tcPr>
            <w:tcW w:w="1915" w:type="dxa"/>
          </w:tcPr>
          <w:p w:rsidR="00C65D04" w:rsidRPr="0048007B" w:rsidRDefault="00C65D04"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(2.1 – 6.4)</w:t>
            </w:r>
          </w:p>
        </w:tc>
        <w:tc>
          <w:tcPr>
            <w:tcW w:w="1915" w:type="dxa"/>
          </w:tcPr>
          <w:p w:rsidR="00C65D04" w:rsidRPr="0048007B" w:rsidRDefault="00F1132D"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2.7</w:t>
            </w:r>
          </w:p>
        </w:tc>
        <w:tc>
          <w:tcPr>
            <w:tcW w:w="1916" w:type="dxa"/>
          </w:tcPr>
          <w:p w:rsidR="00C65D04" w:rsidRPr="0048007B" w:rsidRDefault="00F1132D"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(1.5 – 5.1)</w:t>
            </w:r>
          </w:p>
        </w:tc>
      </w:tr>
      <w:tr w:rsidR="00C65D04" w:rsidRPr="0048007B" w:rsidTr="00C65D04">
        <w:tc>
          <w:tcPr>
            <w:tcW w:w="1915" w:type="dxa"/>
          </w:tcPr>
          <w:p w:rsidR="00C65D04" w:rsidRPr="0048007B" w:rsidRDefault="00C65D04"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Polypharmacy</w:t>
            </w:r>
          </w:p>
        </w:tc>
        <w:tc>
          <w:tcPr>
            <w:tcW w:w="1915" w:type="dxa"/>
          </w:tcPr>
          <w:p w:rsidR="00C65D04" w:rsidRPr="0048007B" w:rsidRDefault="0051046F" w:rsidP="00122D04">
            <w:pPr>
              <w:pStyle w:val="Heading2"/>
              <w:spacing w:line="480" w:lineRule="auto"/>
              <w:outlineLvl w:val="1"/>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8.14</w:t>
            </w:r>
          </w:p>
        </w:tc>
        <w:tc>
          <w:tcPr>
            <w:tcW w:w="1915" w:type="dxa"/>
          </w:tcPr>
          <w:p w:rsidR="00C65D04" w:rsidRPr="0048007B" w:rsidRDefault="00C65D04"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(3.8 – 17.8)</w:t>
            </w:r>
          </w:p>
        </w:tc>
        <w:tc>
          <w:tcPr>
            <w:tcW w:w="1915" w:type="dxa"/>
          </w:tcPr>
          <w:p w:rsidR="00C65D04" w:rsidRPr="0048007B" w:rsidRDefault="00F1132D"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5.</w:t>
            </w:r>
            <w:r w:rsidR="0051046F">
              <w:rPr>
                <w:rFonts w:ascii="Times New Roman" w:hAnsi="Times New Roman" w:cs="Times New Roman"/>
                <w:b w:val="0"/>
                <w:color w:val="000000" w:themeColor="text1"/>
                <w:sz w:val="24"/>
                <w:szCs w:val="24"/>
              </w:rPr>
              <w:t>1</w:t>
            </w:r>
          </w:p>
        </w:tc>
        <w:tc>
          <w:tcPr>
            <w:tcW w:w="1916" w:type="dxa"/>
          </w:tcPr>
          <w:p w:rsidR="00C65D04" w:rsidRPr="0048007B" w:rsidRDefault="00F1132D"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(2.4 – 11.6)</w:t>
            </w:r>
          </w:p>
        </w:tc>
      </w:tr>
      <w:tr w:rsidR="00C65D04" w:rsidRPr="0048007B" w:rsidTr="00C65D04">
        <w:tc>
          <w:tcPr>
            <w:tcW w:w="1915" w:type="dxa"/>
          </w:tcPr>
          <w:p w:rsidR="00C65D04" w:rsidRPr="0048007B" w:rsidRDefault="00C65D04"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Comorbidities</w:t>
            </w:r>
          </w:p>
        </w:tc>
        <w:tc>
          <w:tcPr>
            <w:tcW w:w="1915" w:type="dxa"/>
          </w:tcPr>
          <w:p w:rsidR="00C65D04" w:rsidRPr="0048007B" w:rsidRDefault="00C65D04"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3.84</w:t>
            </w:r>
          </w:p>
        </w:tc>
        <w:tc>
          <w:tcPr>
            <w:tcW w:w="1915" w:type="dxa"/>
          </w:tcPr>
          <w:p w:rsidR="00C65D04" w:rsidRPr="0048007B" w:rsidRDefault="00C65D04"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(2.1 – 6.9)</w:t>
            </w:r>
          </w:p>
        </w:tc>
        <w:tc>
          <w:tcPr>
            <w:tcW w:w="1915" w:type="dxa"/>
          </w:tcPr>
          <w:p w:rsidR="00C65D04" w:rsidRPr="0048007B" w:rsidRDefault="00F1132D"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w:t>
            </w:r>
          </w:p>
        </w:tc>
        <w:tc>
          <w:tcPr>
            <w:tcW w:w="1916" w:type="dxa"/>
          </w:tcPr>
          <w:p w:rsidR="00C65D04" w:rsidRPr="0048007B" w:rsidRDefault="00625983"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w:t>
            </w:r>
          </w:p>
        </w:tc>
      </w:tr>
    </w:tbl>
    <w:p w:rsidR="00C65D04" w:rsidRDefault="00C65D04" w:rsidP="00122D04">
      <w:pPr>
        <w:pStyle w:val="Heading2"/>
        <w:spacing w:line="480" w:lineRule="auto"/>
        <w:rPr>
          <w:rFonts w:ascii="Times New Roman" w:hAnsi="Times New Roman" w:cs="Times New Roman"/>
          <w:color w:val="000000" w:themeColor="text1"/>
          <w:sz w:val="24"/>
          <w:szCs w:val="24"/>
        </w:rPr>
      </w:pPr>
    </w:p>
    <w:p w:rsidR="00BB2269" w:rsidRPr="00122D04" w:rsidRDefault="00BB2269" w:rsidP="00122D04">
      <w:pPr>
        <w:pStyle w:val="Heading2"/>
        <w:spacing w:line="480" w:lineRule="auto"/>
        <w:rPr>
          <w:rFonts w:ascii="Times New Roman" w:hAnsi="Times New Roman" w:cs="Times New Roman"/>
          <w:color w:val="000000" w:themeColor="text1"/>
          <w:sz w:val="24"/>
          <w:szCs w:val="24"/>
        </w:rPr>
      </w:pPr>
      <w:r w:rsidRPr="00122D04">
        <w:rPr>
          <w:rFonts w:ascii="Times New Roman" w:hAnsi="Times New Roman" w:cs="Times New Roman"/>
          <w:color w:val="000000" w:themeColor="text1"/>
          <w:sz w:val="24"/>
          <w:szCs w:val="24"/>
        </w:rPr>
        <w:t>Discussion</w:t>
      </w:r>
      <w:bookmarkEnd w:id="21"/>
    </w:p>
    <w:p w:rsidR="00BB2269" w:rsidRDefault="00BB2269" w:rsidP="00BB2269">
      <w:pPr>
        <w:spacing w:line="480" w:lineRule="auto"/>
        <w:rPr>
          <w:rFonts w:cs="Times New Roman"/>
          <w:szCs w:val="24"/>
        </w:rPr>
      </w:pPr>
      <w:r>
        <w:rPr>
          <w:rFonts w:cs="Times New Roman"/>
          <w:szCs w:val="24"/>
        </w:rPr>
        <w:t>According to the national patient safety agency (2007), over two million prescriptions are made every day with 7000 drugs being administered daily in an average UK hospital. These statistics reflect the high frequency of prescriptions in the global healthcare system. Therefore, hospitals must find way to identify and correct medication discrepancies,</w:t>
      </w:r>
      <w:r w:rsidR="0088666F">
        <w:rPr>
          <w:rFonts w:cs="Times New Roman"/>
          <w:szCs w:val="24"/>
        </w:rPr>
        <w:t xml:space="preserve"> more so those that would devastate the health of the patient. R</w:t>
      </w:r>
      <w:r>
        <w:rPr>
          <w:rFonts w:cs="Times New Roman"/>
          <w:szCs w:val="24"/>
        </w:rPr>
        <w:t>econcil</w:t>
      </w:r>
      <w:r w:rsidR="000753D8">
        <w:rPr>
          <w:rFonts w:cs="Times New Roman"/>
          <w:szCs w:val="24"/>
        </w:rPr>
        <w:t>iation by a clinical pharmacist</w:t>
      </w:r>
      <w:r>
        <w:rPr>
          <w:rFonts w:cs="Times New Roman"/>
          <w:szCs w:val="24"/>
        </w:rPr>
        <w:t xml:space="preserve"> has been an effective way to identify and reduce these errors. </w:t>
      </w:r>
    </w:p>
    <w:p w:rsidR="00BB2269" w:rsidRDefault="00BB2269" w:rsidP="00BB2269">
      <w:pPr>
        <w:spacing w:line="480" w:lineRule="auto"/>
        <w:rPr>
          <w:rFonts w:cs="Times New Roman"/>
          <w:szCs w:val="24"/>
        </w:rPr>
      </w:pPr>
      <w:r>
        <w:rPr>
          <w:rFonts w:cs="Times New Roman"/>
          <w:szCs w:val="24"/>
        </w:rPr>
        <w:t>Due to the inadequate numbers of clinical pharmacists and the time of commitment, hospitals may</w:t>
      </w:r>
      <w:r w:rsidR="008F24F5">
        <w:rPr>
          <w:rFonts w:cs="Times New Roman"/>
          <w:szCs w:val="24"/>
        </w:rPr>
        <w:t xml:space="preserve"> find</w:t>
      </w:r>
      <w:r>
        <w:rPr>
          <w:rFonts w:cs="Times New Roman"/>
          <w:szCs w:val="24"/>
        </w:rPr>
        <w:t xml:space="preserve"> it unfeasible to </w:t>
      </w:r>
      <w:r w:rsidR="000753D8">
        <w:rPr>
          <w:rFonts w:cs="Times New Roman"/>
          <w:szCs w:val="24"/>
        </w:rPr>
        <w:t xml:space="preserve">employ fully the </w:t>
      </w:r>
      <w:r>
        <w:rPr>
          <w:rFonts w:cs="Times New Roman"/>
          <w:szCs w:val="24"/>
        </w:rPr>
        <w:t xml:space="preserve">reconciliation </w:t>
      </w:r>
      <w:r w:rsidR="000753D8">
        <w:rPr>
          <w:rFonts w:cs="Times New Roman"/>
          <w:szCs w:val="24"/>
        </w:rPr>
        <w:t>practice</w:t>
      </w:r>
      <w:r>
        <w:rPr>
          <w:rFonts w:cs="Times New Roman"/>
          <w:szCs w:val="24"/>
        </w:rPr>
        <w:t xml:space="preserve"> for all patients across the continuum of health care delivery process (Buckley et al., 2013). Besides, it remains unclear on the evidence-based criteria for the medication reconciliation of high-risk patients.  From this understanding, it is imperative to predict the </w:t>
      </w:r>
      <w:r w:rsidR="006724DD">
        <w:rPr>
          <w:rFonts w:cs="Times New Roman"/>
          <w:szCs w:val="24"/>
        </w:rPr>
        <w:t>causes of these</w:t>
      </w:r>
      <w:r>
        <w:rPr>
          <w:rFonts w:cs="Times New Roman"/>
          <w:szCs w:val="24"/>
        </w:rPr>
        <w:t xml:space="preserve"> errors in medication histories. This study was done to identify these medical discrepancies and their prevalence in the surgical unit of Hamad General Hospital. It presented the factors that are high-risk for medication errors in the hospital so that there can be development and implementation of a screening criterion to minimize their prevalence. Patients identified to have high risk factors could then be referred to clinical pharmacists for an enhanced review of their medication histories.</w:t>
      </w:r>
    </w:p>
    <w:p w:rsidR="00BB2269" w:rsidRDefault="004939CD" w:rsidP="00BB2269">
      <w:pPr>
        <w:spacing w:line="480" w:lineRule="auto"/>
        <w:rPr>
          <w:rFonts w:eastAsia="Times New Roman" w:cs="Times New Roman"/>
          <w:szCs w:val="24"/>
        </w:rPr>
      </w:pPr>
      <w:r>
        <w:rPr>
          <w:rFonts w:cs="Times New Roman"/>
          <w:szCs w:val="24"/>
        </w:rPr>
        <w:t xml:space="preserve">The </w:t>
      </w:r>
      <w:r w:rsidR="00DF1903">
        <w:rPr>
          <w:rFonts w:cs="Times New Roman"/>
          <w:szCs w:val="24"/>
        </w:rPr>
        <w:t>findings of the research indicate</w:t>
      </w:r>
      <w:r>
        <w:rPr>
          <w:rFonts w:cs="Times New Roman"/>
          <w:szCs w:val="24"/>
        </w:rPr>
        <w:t xml:space="preserve"> that patients above 65 years </w:t>
      </w:r>
      <w:r w:rsidR="00BB2269">
        <w:rPr>
          <w:rFonts w:cs="Times New Roman"/>
          <w:szCs w:val="24"/>
        </w:rPr>
        <w:t xml:space="preserve">recorded a high frequency of medication errors at the admission level. </w:t>
      </w:r>
      <w:r w:rsidR="00DF1903">
        <w:rPr>
          <w:rFonts w:cs="Times New Roman"/>
          <w:szCs w:val="24"/>
        </w:rPr>
        <w:t xml:space="preserve"> The incidence rate of medication discrepancies among the participants in the study was 35.8%;</w:t>
      </w:r>
      <w:r w:rsidR="00BB2269">
        <w:rPr>
          <w:rFonts w:cs="Times New Roman"/>
          <w:szCs w:val="24"/>
        </w:rPr>
        <w:t xml:space="preserve"> similar reports have been made in other national and global studies with the prevalence ranging between 21% and 53.6% (Kwan et al., 2007). </w:t>
      </w:r>
      <w:r w:rsidR="00DF1903">
        <w:rPr>
          <w:rFonts w:cs="Times New Roman"/>
          <w:szCs w:val="24"/>
        </w:rPr>
        <w:t xml:space="preserve">Even so, there are other studies that have recorded significantly low prevalence rates of the errors </w:t>
      </w:r>
      <w:r w:rsidR="00BB2269">
        <w:rPr>
          <w:rFonts w:cs="Times New Roman"/>
          <w:szCs w:val="24"/>
        </w:rPr>
        <w:t xml:space="preserve">(Unroe et al., 2010). </w:t>
      </w:r>
      <w:r w:rsidR="00DF1903">
        <w:rPr>
          <w:rFonts w:cs="Times New Roman"/>
          <w:szCs w:val="24"/>
        </w:rPr>
        <w:t xml:space="preserve">Empirical research on errors in medication history information </w:t>
      </w:r>
      <w:r w:rsidR="00BB2269">
        <w:rPr>
          <w:rFonts w:cs="Times New Roman"/>
          <w:szCs w:val="24"/>
        </w:rPr>
        <w:t>at admission</w:t>
      </w:r>
      <w:r w:rsidR="00DF1903">
        <w:rPr>
          <w:rFonts w:cs="Times New Roman"/>
          <w:szCs w:val="24"/>
        </w:rPr>
        <w:t xml:space="preserve"> level </w:t>
      </w:r>
      <w:r w:rsidR="00BB2269">
        <w:rPr>
          <w:rFonts w:cs="Times New Roman"/>
          <w:szCs w:val="24"/>
        </w:rPr>
        <w:t>have used heterogeneous reconciliation proce</w:t>
      </w:r>
      <w:r w:rsidR="00DF1903">
        <w:rPr>
          <w:rFonts w:cs="Times New Roman"/>
          <w:szCs w:val="24"/>
        </w:rPr>
        <w:t xml:space="preserve">sses with variations in study </w:t>
      </w:r>
      <w:r w:rsidR="00BB2269">
        <w:rPr>
          <w:rFonts w:cs="Times New Roman"/>
          <w:szCs w:val="24"/>
        </w:rPr>
        <w:t>population, methodology, and definitions</w:t>
      </w:r>
      <w:r w:rsidR="00DF1903">
        <w:rPr>
          <w:rFonts w:cs="Times New Roman"/>
          <w:szCs w:val="24"/>
        </w:rPr>
        <w:t xml:space="preserve"> of the discrepancies</w:t>
      </w:r>
      <w:r w:rsidR="00BB2269">
        <w:rPr>
          <w:rFonts w:cs="Times New Roman"/>
          <w:szCs w:val="24"/>
        </w:rPr>
        <w:t xml:space="preserve"> (Agrawal and Wu, 2009). A</w:t>
      </w:r>
      <w:r w:rsidR="00FA153D">
        <w:rPr>
          <w:rFonts w:cs="Times New Roman"/>
          <w:szCs w:val="24"/>
        </w:rPr>
        <w:t>n evaluation of several studies regarding this topic</w:t>
      </w:r>
      <w:r w:rsidR="00BB2269">
        <w:rPr>
          <w:rFonts w:cs="Times New Roman"/>
          <w:szCs w:val="24"/>
        </w:rPr>
        <w:t xml:space="preserve"> indicated that a majority of them classified the discrepancies empirically (</w:t>
      </w:r>
      <w:r w:rsidR="00BB2269" w:rsidRPr="008F6F86">
        <w:rPr>
          <w:rFonts w:eastAsia="Times New Roman" w:cs="Times New Roman"/>
          <w:szCs w:val="24"/>
        </w:rPr>
        <w:t>Almanasreh</w:t>
      </w:r>
      <w:r w:rsidR="00BB2269">
        <w:rPr>
          <w:rFonts w:eastAsia="Times New Roman" w:cs="Times New Roman"/>
          <w:szCs w:val="24"/>
        </w:rPr>
        <w:t xml:space="preserve"> et </w:t>
      </w:r>
      <w:r w:rsidR="00FC0303">
        <w:rPr>
          <w:rFonts w:eastAsia="Times New Roman" w:cs="Times New Roman"/>
          <w:szCs w:val="24"/>
        </w:rPr>
        <w:t xml:space="preserve">al., 2016).  From this evaluation it was recommended that </w:t>
      </w:r>
      <w:r w:rsidR="00BB2269">
        <w:rPr>
          <w:rFonts w:eastAsia="Times New Roman" w:cs="Times New Roman"/>
          <w:szCs w:val="24"/>
        </w:rPr>
        <w:t>for hospital personn</w:t>
      </w:r>
      <w:r w:rsidR="004341B4">
        <w:rPr>
          <w:rFonts w:eastAsia="Times New Roman" w:cs="Times New Roman"/>
          <w:szCs w:val="24"/>
        </w:rPr>
        <w:t>el to comprehend the dynamics of reconciliation</w:t>
      </w:r>
      <w:r w:rsidR="00BB2269">
        <w:rPr>
          <w:rFonts w:eastAsia="Times New Roman" w:cs="Times New Roman"/>
          <w:szCs w:val="24"/>
        </w:rPr>
        <w:t xml:space="preserve"> </w:t>
      </w:r>
      <w:r w:rsidR="001A0572">
        <w:rPr>
          <w:rFonts w:eastAsia="Times New Roman" w:cs="Times New Roman"/>
          <w:szCs w:val="24"/>
        </w:rPr>
        <w:t>and discover the strategies to foster consistency</w:t>
      </w:r>
      <w:r w:rsidR="00BB2269">
        <w:rPr>
          <w:rFonts w:eastAsia="Times New Roman" w:cs="Times New Roman"/>
          <w:szCs w:val="24"/>
        </w:rPr>
        <w:t>, there is a necessity to define and categorize the medication discrepancies, as they are the only measurable entities that relate to the medication reconc</w:t>
      </w:r>
      <w:r w:rsidR="001A0572">
        <w:rPr>
          <w:rFonts w:eastAsia="Times New Roman" w:cs="Times New Roman"/>
          <w:szCs w:val="24"/>
        </w:rPr>
        <w:t xml:space="preserve">iliation process. In a survey for </w:t>
      </w:r>
      <w:r w:rsidR="00BB2269">
        <w:rPr>
          <w:rFonts w:eastAsia="Times New Roman" w:cs="Times New Roman"/>
          <w:szCs w:val="24"/>
        </w:rPr>
        <w:t xml:space="preserve">medication safety </w:t>
      </w:r>
      <w:r w:rsidR="001A0572">
        <w:rPr>
          <w:rFonts w:eastAsia="Times New Roman" w:cs="Times New Roman"/>
          <w:szCs w:val="24"/>
        </w:rPr>
        <w:t>methods</w:t>
      </w:r>
      <w:r w:rsidR="00BB2269">
        <w:rPr>
          <w:rFonts w:eastAsia="Times New Roman" w:cs="Times New Roman"/>
          <w:szCs w:val="24"/>
        </w:rPr>
        <w:t xml:space="preserve">, a report emerged that only 18% of </w:t>
      </w:r>
      <w:r w:rsidR="001A0572">
        <w:rPr>
          <w:rFonts w:eastAsia="Times New Roman" w:cs="Times New Roman"/>
          <w:szCs w:val="24"/>
        </w:rPr>
        <w:t xml:space="preserve">the health facilities </w:t>
      </w:r>
      <w:r w:rsidR="00BB2269">
        <w:rPr>
          <w:rFonts w:eastAsia="Times New Roman" w:cs="Times New Roman"/>
          <w:szCs w:val="24"/>
        </w:rPr>
        <w:t>in Saudi Ar</w:t>
      </w:r>
      <w:r w:rsidR="001A0572">
        <w:rPr>
          <w:rFonts w:eastAsia="Times New Roman" w:cs="Times New Roman"/>
          <w:szCs w:val="24"/>
        </w:rPr>
        <w:t xml:space="preserve">abia have distinct </w:t>
      </w:r>
      <w:r w:rsidR="00BB2269">
        <w:rPr>
          <w:rFonts w:eastAsia="Times New Roman" w:cs="Times New Roman"/>
          <w:szCs w:val="24"/>
        </w:rPr>
        <w:t>procedures</w:t>
      </w:r>
      <w:r w:rsidR="001A0572">
        <w:rPr>
          <w:rFonts w:eastAsia="Times New Roman" w:cs="Times New Roman"/>
          <w:szCs w:val="24"/>
        </w:rPr>
        <w:t xml:space="preserve"> and rules pertaining th</w:t>
      </w:r>
      <w:r w:rsidR="00BB2269">
        <w:rPr>
          <w:rFonts w:eastAsia="Times New Roman" w:cs="Times New Roman"/>
          <w:szCs w:val="24"/>
        </w:rPr>
        <w:t xml:space="preserve">e </w:t>
      </w:r>
      <w:r w:rsidR="001A0572">
        <w:rPr>
          <w:rFonts w:eastAsia="Times New Roman" w:cs="Times New Roman"/>
          <w:szCs w:val="24"/>
        </w:rPr>
        <w:t>execution of the reconciliation process with erroneous medication lists being rampant</w:t>
      </w:r>
      <w:r w:rsidR="00BB2269">
        <w:rPr>
          <w:rFonts w:eastAsia="Times New Roman" w:cs="Times New Roman"/>
          <w:szCs w:val="24"/>
        </w:rPr>
        <w:t xml:space="preserve"> (</w:t>
      </w:r>
      <w:r w:rsidR="00BB2269" w:rsidRPr="001B7481">
        <w:rPr>
          <w:rFonts w:eastAsia="Times New Roman" w:cs="Times New Roman"/>
          <w:szCs w:val="24"/>
        </w:rPr>
        <w:t>Aljadhey</w:t>
      </w:r>
      <w:r w:rsidR="00BB2269">
        <w:rPr>
          <w:rFonts w:eastAsia="Times New Roman" w:cs="Times New Roman"/>
          <w:szCs w:val="24"/>
        </w:rPr>
        <w:t xml:space="preserve"> et al., 2013). </w:t>
      </w:r>
    </w:p>
    <w:p w:rsidR="00BB2269" w:rsidRDefault="000965E7" w:rsidP="00BB2269">
      <w:pPr>
        <w:spacing w:line="480" w:lineRule="auto"/>
        <w:rPr>
          <w:rFonts w:cs="Times New Roman"/>
          <w:szCs w:val="24"/>
        </w:rPr>
      </w:pPr>
      <w:r>
        <w:rPr>
          <w:rFonts w:eastAsia="Times New Roman" w:cs="Times New Roman"/>
          <w:szCs w:val="24"/>
        </w:rPr>
        <w:t>T</w:t>
      </w:r>
      <w:r w:rsidR="0096526E">
        <w:rPr>
          <w:rFonts w:eastAsia="Times New Roman" w:cs="Times New Roman"/>
          <w:szCs w:val="24"/>
        </w:rPr>
        <w:t>he study show that more than</w:t>
      </w:r>
      <w:r w:rsidR="00BB2269">
        <w:rPr>
          <w:rFonts w:eastAsia="Times New Roman" w:cs="Times New Roman"/>
          <w:szCs w:val="24"/>
        </w:rPr>
        <w:t xml:space="preserve"> ha</w:t>
      </w:r>
      <w:r w:rsidR="00B460D3">
        <w:rPr>
          <w:rFonts w:eastAsia="Times New Roman" w:cs="Times New Roman"/>
          <w:szCs w:val="24"/>
        </w:rPr>
        <w:t>lf of the medication errors would lead</w:t>
      </w:r>
      <w:r w:rsidR="00BB2269">
        <w:rPr>
          <w:rFonts w:eastAsia="Times New Roman" w:cs="Times New Roman"/>
          <w:szCs w:val="24"/>
        </w:rPr>
        <w:t xml:space="preserve"> to adverse clinica</w:t>
      </w:r>
      <w:r w:rsidR="00B460D3">
        <w:rPr>
          <w:rFonts w:eastAsia="Times New Roman" w:cs="Times New Roman"/>
          <w:szCs w:val="24"/>
        </w:rPr>
        <w:t>l effect on the patient if they</w:t>
      </w:r>
      <w:r w:rsidR="00A82CAF">
        <w:rPr>
          <w:rFonts w:eastAsia="Times New Roman" w:cs="Times New Roman"/>
          <w:szCs w:val="24"/>
        </w:rPr>
        <w:t xml:space="preserve"> remain</w:t>
      </w:r>
      <w:r w:rsidR="00BB2269">
        <w:rPr>
          <w:rFonts w:eastAsia="Times New Roman" w:cs="Times New Roman"/>
          <w:szCs w:val="24"/>
        </w:rPr>
        <w:t xml:space="preserve"> unnoticed. However</w:t>
      </w:r>
      <w:r w:rsidR="00634B7F">
        <w:rPr>
          <w:rFonts w:eastAsia="Times New Roman" w:cs="Times New Roman"/>
          <w:szCs w:val="24"/>
        </w:rPr>
        <w:t xml:space="preserve">, </w:t>
      </w:r>
      <w:r w:rsidR="00BB2269">
        <w:rPr>
          <w:rFonts w:eastAsia="Times New Roman" w:cs="Times New Roman"/>
          <w:szCs w:val="24"/>
        </w:rPr>
        <w:t xml:space="preserve"> the </w:t>
      </w:r>
      <w:r w:rsidR="00634B7F">
        <w:rPr>
          <w:rFonts w:eastAsia="Times New Roman" w:cs="Times New Roman"/>
          <w:szCs w:val="24"/>
        </w:rPr>
        <w:t xml:space="preserve">recorded </w:t>
      </w:r>
      <w:r w:rsidR="00BB2269">
        <w:rPr>
          <w:rFonts w:eastAsia="Times New Roman" w:cs="Times New Roman"/>
          <w:szCs w:val="24"/>
        </w:rPr>
        <w:t xml:space="preserve">number of the </w:t>
      </w:r>
      <w:r w:rsidR="00634B7F">
        <w:rPr>
          <w:rFonts w:eastAsia="Times New Roman" w:cs="Times New Roman"/>
          <w:szCs w:val="24"/>
        </w:rPr>
        <w:t>discrepancies</w:t>
      </w:r>
      <w:r w:rsidR="00BB2269">
        <w:rPr>
          <w:rFonts w:eastAsia="Times New Roman" w:cs="Times New Roman"/>
          <w:szCs w:val="24"/>
        </w:rPr>
        <w:t xml:space="preserve"> that would cause </w:t>
      </w:r>
      <w:r>
        <w:rPr>
          <w:rFonts w:eastAsia="Times New Roman" w:cs="Times New Roman"/>
          <w:szCs w:val="24"/>
        </w:rPr>
        <w:t>harm was</w:t>
      </w:r>
      <w:r w:rsidR="006929F7">
        <w:rPr>
          <w:rFonts w:eastAsia="Times New Roman" w:cs="Times New Roman"/>
          <w:szCs w:val="24"/>
        </w:rPr>
        <w:t xml:space="preserve"> relatively small (n=</w:t>
      </w:r>
      <w:bookmarkStart w:id="22" w:name="_GoBack"/>
      <w:bookmarkEnd w:id="22"/>
      <w:r w:rsidR="008F24F5">
        <w:rPr>
          <w:rFonts w:eastAsia="Times New Roman" w:cs="Times New Roman"/>
          <w:szCs w:val="24"/>
        </w:rPr>
        <w:t>21</w:t>
      </w:r>
      <w:r w:rsidR="00BB2269">
        <w:rPr>
          <w:rFonts w:eastAsia="Times New Roman" w:cs="Times New Roman"/>
          <w:szCs w:val="24"/>
        </w:rPr>
        <w:t>, 19.8%). Similar to the</w:t>
      </w:r>
      <w:r w:rsidR="00634B7F">
        <w:rPr>
          <w:rFonts w:eastAsia="Times New Roman" w:cs="Times New Roman"/>
          <w:szCs w:val="24"/>
        </w:rPr>
        <w:t xml:space="preserve"> findings in the study, past studies </w:t>
      </w:r>
      <w:r w:rsidR="00BB2269">
        <w:rPr>
          <w:rFonts w:eastAsia="Times New Roman" w:cs="Times New Roman"/>
          <w:szCs w:val="24"/>
        </w:rPr>
        <w:t>i</w:t>
      </w:r>
      <w:r w:rsidR="00634B7F">
        <w:rPr>
          <w:rFonts w:eastAsia="Times New Roman" w:cs="Times New Roman"/>
          <w:szCs w:val="24"/>
        </w:rPr>
        <w:t xml:space="preserve">ndicated that omission error when </w:t>
      </w:r>
      <w:r w:rsidR="00BB2269">
        <w:rPr>
          <w:rFonts w:eastAsia="Times New Roman" w:cs="Times New Roman"/>
          <w:szCs w:val="24"/>
        </w:rPr>
        <w:t xml:space="preserve">taking the medication history </w:t>
      </w:r>
      <w:r w:rsidR="00634B7F">
        <w:rPr>
          <w:rFonts w:eastAsia="Times New Roman" w:cs="Times New Roman"/>
          <w:szCs w:val="24"/>
        </w:rPr>
        <w:t xml:space="preserve">is </w:t>
      </w:r>
      <w:r w:rsidR="00BB2269">
        <w:rPr>
          <w:rFonts w:eastAsia="Times New Roman" w:cs="Times New Roman"/>
          <w:szCs w:val="24"/>
        </w:rPr>
        <w:t>the most prevalent type of medicati</w:t>
      </w:r>
      <w:r w:rsidR="00634B7F">
        <w:rPr>
          <w:rFonts w:eastAsia="Times New Roman" w:cs="Times New Roman"/>
          <w:szCs w:val="24"/>
        </w:rPr>
        <w:t xml:space="preserve">on error followed by errors in </w:t>
      </w:r>
      <w:r w:rsidR="00BB2269">
        <w:rPr>
          <w:rFonts w:eastAsia="Times New Roman" w:cs="Times New Roman"/>
          <w:szCs w:val="24"/>
        </w:rPr>
        <w:t>frequency, dose, and route of administration (Tam et a</w:t>
      </w:r>
      <w:r w:rsidR="00DD01CC">
        <w:rPr>
          <w:rFonts w:eastAsia="Times New Roman" w:cs="Times New Roman"/>
          <w:szCs w:val="24"/>
        </w:rPr>
        <w:t xml:space="preserve">l., 2005). </w:t>
      </w:r>
      <w:r w:rsidR="00BB2269">
        <w:rPr>
          <w:rFonts w:eastAsia="Times New Roman" w:cs="Times New Roman"/>
          <w:szCs w:val="24"/>
        </w:rPr>
        <w:t>42</w:t>
      </w:r>
      <w:r w:rsidR="00DD01CC">
        <w:rPr>
          <w:rFonts w:eastAsia="Times New Roman" w:cs="Times New Roman"/>
          <w:szCs w:val="24"/>
        </w:rPr>
        <w:t xml:space="preserve"> percent</w:t>
      </w:r>
      <w:r w:rsidR="00BB2269">
        <w:rPr>
          <w:rFonts w:eastAsia="Times New Roman" w:cs="Times New Roman"/>
          <w:szCs w:val="24"/>
        </w:rPr>
        <w:t xml:space="preserve"> of the admitted patients </w:t>
      </w:r>
      <w:r w:rsidR="00DD01CC">
        <w:rPr>
          <w:rFonts w:eastAsia="Times New Roman" w:cs="Times New Roman"/>
          <w:szCs w:val="24"/>
        </w:rPr>
        <w:t xml:space="preserve"> were found to have </w:t>
      </w:r>
      <w:r w:rsidR="00BB2269">
        <w:rPr>
          <w:rFonts w:eastAsia="Times New Roman" w:cs="Times New Roman"/>
          <w:szCs w:val="24"/>
        </w:rPr>
        <w:t>at least one medication omitted in their medication l</w:t>
      </w:r>
      <w:r w:rsidR="00887746">
        <w:rPr>
          <w:rFonts w:eastAsia="Times New Roman" w:cs="Times New Roman"/>
          <w:szCs w:val="24"/>
        </w:rPr>
        <w:t xml:space="preserve">ist. Physicians find it challenging </w:t>
      </w:r>
      <w:r w:rsidR="00BB2269">
        <w:rPr>
          <w:rFonts w:eastAsia="Times New Roman" w:cs="Times New Roman"/>
          <w:szCs w:val="24"/>
        </w:rPr>
        <w:t>to acq</w:t>
      </w:r>
      <w:r w:rsidR="00887746">
        <w:rPr>
          <w:rFonts w:eastAsia="Times New Roman" w:cs="Times New Roman"/>
          <w:szCs w:val="24"/>
        </w:rPr>
        <w:t>uire accurate medication lists</w:t>
      </w:r>
      <w:r w:rsidR="00BB2269">
        <w:rPr>
          <w:rFonts w:eastAsia="Times New Roman" w:cs="Times New Roman"/>
          <w:szCs w:val="24"/>
        </w:rPr>
        <w:t xml:space="preserve"> from the patient</w:t>
      </w:r>
      <w:r w:rsidR="00887746">
        <w:rPr>
          <w:rFonts w:eastAsia="Times New Roman" w:cs="Times New Roman"/>
          <w:szCs w:val="24"/>
        </w:rPr>
        <w:t>s due to their limited expertise in the dynamics of medications</w:t>
      </w:r>
      <w:r w:rsidR="00BB2269">
        <w:rPr>
          <w:rFonts w:eastAsia="Times New Roman" w:cs="Times New Roman"/>
          <w:szCs w:val="24"/>
        </w:rPr>
        <w:t>.</w:t>
      </w:r>
      <w:r>
        <w:rPr>
          <w:rFonts w:eastAsia="Times New Roman" w:cs="Times New Roman"/>
          <w:szCs w:val="24"/>
        </w:rPr>
        <w:t xml:space="preserve"> Pharmacists are more equipped with the technical knowhow to conduct interviews on medication history because of the familiarity with medications names, dose, effects, distinctive characteristics, and mode of administration. They can readily detect mistakes and inconsistencies in </w:t>
      </w:r>
      <w:r w:rsidR="002145C3">
        <w:rPr>
          <w:rFonts w:eastAsia="Times New Roman" w:cs="Times New Roman"/>
          <w:szCs w:val="24"/>
        </w:rPr>
        <w:t>the medications that the patients present. They also have the exclusive experience and expertise to identify questionable prescriptions and optimize the patient’s therapeutics through evidence-based interventions (Nester and Hale, 2002).</w:t>
      </w:r>
    </w:p>
    <w:p w:rsidR="00BB2269" w:rsidRDefault="00A46A45" w:rsidP="00BB2269">
      <w:pPr>
        <w:spacing w:line="480" w:lineRule="auto"/>
        <w:rPr>
          <w:rFonts w:cs="Times New Roman"/>
          <w:szCs w:val="24"/>
        </w:rPr>
      </w:pPr>
      <w:r>
        <w:rPr>
          <w:rFonts w:cs="Times New Roman"/>
          <w:szCs w:val="24"/>
        </w:rPr>
        <w:t>The findings of empirical studies</w:t>
      </w:r>
      <w:r w:rsidR="00BB2269">
        <w:rPr>
          <w:rFonts w:cs="Times New Roman"/>
          <w:szCs w:val="24"/>
        </w:rPr>
        <w:t xml:space="preserve"> regarding </w:t>
      </w:r>
      <w:r>
        <w:rPr>
          <w:rFonts w:cs="Times New Roman"/>
          <w:szCs w:val="24"/>
        </w:rPr>
        <w:t>the predictor factors for erroneous medication lists present a consensus on a number of these factors.</w:t>
      </w:r>
      <w:r w:rsidR="009E1C97">
        <w:rPr>
          <w:rFonts w:cs="Times New Roman"/>
          <w:szCs w:val="24"/>
        </w:rPr>
        <w:t xml:space="preserve"> In this study, the findings highlight the predictive factors to be age</w:t>
      </w:r>
      <w:r w:rsidR="00BB2269">
        <w:rPr>
          <w:rFonts w:cs="Times New Roman"/>
          <w:szCs w:val="24"/>
        </w:rPr>
        <w:t xml:space="preserve"> (&gt;65 years), a high</w:t>
      </w:r>
      <w:r w:rsidR="009E1C97">
        <w:rPr>
          <w:rFonts w:cs="Times New Roman"/>
          <w:szCs w:val="24"/>
        </w:rPr>
        <w:t xml:space="preserve">- risk drugs, polypharmacy, and comorbidity. </w:t>
      </w:r>
      <w:r w:rsidR="00BB2269">
        <w:rPr>
          <w:rFonts w:cs="Times New Roman"/>
          <w:szCs w:val="24"/>
        </w:rPr>
        <w:t xml:space="preserve">Similarly, another study found that old age and polypharmacy are significant predictors of medication errors in patients </w:t>
      </w:r>
      <w:r w:rsidR="009E1C97">
        <w:rPr>
          <w:rFonts w:cs="Times New Roman"/>
          <w:szCs w:val="24"/>
        </w:rPr>
        <w:t>aligned</w:t>
      </w:r>
      <w:r w:rsidR="00BB2269">
        <w:rPr>
          <w:rFonts w:cs="Times New Roman"/>
          <w:szCs w:val="24"/>
        </w:rPr>
        <w:t xml:space="preserve"> for internal medicine and surgical services (Gleason et al., 2010). In the same study</w:t>
      </w:r>
      <w:r w:rsidR="00967B6F">
        <w:rPr>
          <w:rFonts w:cs="Times New Roman"/>
          <w:szCs w:val="24"/>
        </w:rPr>
        <w:t xml:space="preserve">, Gleason and colleagues (2010) reported the insufficiency of the </w:t>
      </w:r>
      <w:r w:rsidR="00BB2269">
        <w:rPr>
          <w:rFonts w:cs="Times New Roman"/>
          <w:szCs w:val="24"/>
        </w:rPr>
        <w:t>predictor factors linked to medication</w:t>
      </w:r>
      <w:r w:rsidR="00967B6F">
        <w:rPr>
          <w:rFonts w:cs="Times New Roman"/>
          <w:szCs w:val="24"/>
        </w:rPr>
        <w:t xml:space="preserve"> errors at admission and recommended generation of favorable process designs to verify medication lists given by patients</w:t>
      </w:r>
      <w:r w:rsidR="00BF2198">
        <w:rPr>
          <w:rFonts w:cs="Times New Roman"/>
          <w:szCs w:val="24"/>
        </w:rPr>
        <w:t>. The use of medication lists</w:t>
      </w:r>
      <w:r w:rsidR="00BB2269">
        <w:rPr>
          <w:rFonts w:cs="Times New Roman"/>
          <w:szCs w:val="24"/>
        </w:rPr>
        <w:t xml:space="preserve"> in old patie</w:t>
      </w:r>
      <w:r w:rsidR="00BF2198">
        <w:rPr>
          <w:rFonts w:cs="Times New Roman"/>
          <w:szCs w:val="24"/>
        </w:rPr>
        <w:t>nts is often insufficient due to the intricacy of</w:t>
      </w:r>
      <w:r w:rsidR="00BB2269">
        <w:rPr>
          <w:rFonts w:cs="Times New Roman"/>
          <w:szCs w:val="24"/>
        </w:rPr>
        <w:t xml:space="preserve"> prescription</w:t>
      </w:r>
      <w:r w:rsidR="00BF2198">
        <w:rPr>
          <w:rFonts w:cs="Times New Roman"/>
          <w:szCs w:val="24"/>
        </w:rPr>
        <w:t>s</w:t>
      </w:r>
      <w:r w:rsidR="00BB2269">
        <w:rPr>
          <w:rFonts w:cs="Times New Roman"/>
          <w:szCs w:val="24"/>
        </w:rPr>
        <w:t>, patient’s features, and other heal</w:t>
      </w:r>
      <w:r w:rsidR="003E0166">
        <w:rPr>
          <w:rFonts w:cs="Times New Roman"/>
          <w:szCs w:val="24"/>
        </w:rPr>
        <w:t>th care-related factors. Evidence suggests a high susceptibility of</w:t>
      </w:r>
      <w:r w:rsidR="00BB2269">
        <w:rPr>
          <w:rFonts w:cs="Times New Roman"/>
          <w:szCs w:val="24"/>
        </w:rPr>
        <w:t xml:space="preserve"> this age group to prescribing patterns of poor quality. Neverthe</w:t>
      </w:r>
      <w:r w:rsidR="00C35B94">
        <w:rPr>
          <w:rFonts w:cs="Times New Roman"/>
          <w:szCs w:val="24"/>
        </w:rPr>
        <w:t xml:space="preserve">less, the findings </w:t>
      </w:r>
      <w:r w:rsidR="00BB2269">
        <w:rPr>
          <w:rFonts w:cs="Times New Roman"/>
          <w:szCs w:val="24"/>
        </w:rPr>
        <w:t xml:space="preserve">might have </w:t>
      </w:r>
      <w:r w:rsidR="008F24F5">
        <w:rPr>
          <w:rFonts w:cs="Times New Roman"/>
          <w:szCs w:val="24"/>
        </w:rPr>
        <w:t xml:space="preserve">been </w:t>
      </w:r>
      <w:r w:rsidR="00BB2269">
        <w:rPr>
          <w:rFonts w:cs="Times New Roman"/>
          <w:szCs w:val="24"/>
        </w:rPr>
        <w:t xml:space="preserve">different had </w:t>
      </w:r>
      <w:r w:rsidR="00C35B94">
        <w:rPr>
          <w:rFonts w:cs="Times New Roman"/>
          <w:szCs w:val="24"/>
        </w:rPr>
        <w:t xml:space="preserve">the cohort of the subjects in the study been </w:t>
      </w:r>
      <w:r w:rsidR="00BB2269">
        <w:rPr>
          <w:rFonts w:cs="Times New Roman"/>
          <w:szCs w:val="24"/>
        </w:rPr>
        <w:t xml:space="preserve">younger as the </w:t>
      </w:r>
      <w:r w:rsidR="00067C5D">
        <w:rPr>
          <w:rFonts w:cs="Times New Roman"/>
          <w:szCs w:val="24"/>
        </w:rPr>
        <w:t xml:space="preserve">average age of the patients </w:t>
      </w:r>
      <w:r w:rsidR="008F24F5">
        <w:rPr>
          <w:rFonts w:cs="Times New Roman"/>
          <w:szCs w:val="24"/>
        </w:rPr>
        <w:t>demonstrated a higher frequency of the older population</w:t>
      </w:r>
      <w:r w:rsidR="00B8491F">
        <w:rPr>
          <w:rFonts w:cs="Times New Roman"/>
          <w:szCs w:val="24"/>
        </w:rPr>
        <w:t xml:space="preserve"> (&gt;65 years = 63.6</w:t>
      </w:r>
      <w:r w:rsidR="00BB2269">
        <w:rPr>
          <w:rFonts w:cs="Times New Roman"/>
          <w:szCs w:val="24"/>
        </w:rPr>
        <w:t>%; &lt;65 ye</w:t>
      </w:r>
      <w:r w:rsidR="00B8491F">
        <w:rPr>
          <w:rFonts w:cs="Times New Roman"/>
          <w:szCs w:val="24"/>
        </w:rPr>
        <w:t>ars = 36.4</w:t>
      </w:r>
      <w:r w:rsidR="00BB2269">
        <w:rPr>
          <w:rFonts w:cs="Times New Roman"/>
          <w:szCs w:val="24"/>
        </w:rPr>
        <w:t xml:space="preserve">%). While polypharmacy is considered a predictor factor for the appearance of medication errors, some studied have failed to associate the </w:t>
      </w:r>
      <w:r w:rsidR="00A83076">
        <w:rPr>
          <w:rFonts w:cs="Times New Roman"/>
          <w:szCs w:val="24"/>
        </w:rPr>
        <w:t xml:space="preserve">rate of the medication errors to the increase in the number of drugs </w:t>
      </w:r>
      <w:r w:rsidR="000B37A0">
        <w:rPr>
          <w:rFonts w:cs="Times New Roman"/>
          <w:szCs w:val="24"/>
        </w:rPr>
        <w:t>upon admission</w:t>
      </w:r>
      <w:r w:rsidR="00BB2269">
        <w:rPr>
          <w:rFonts w:cs="Times New Roman"/>
          <w:szCs w:val="24"/>
        </w:rPr>
        <w:t xml:space="preserve"> (Unroe et al., 2010).</w:t>
      </w:r>
    </w:p>
    <w:p w:rsidR="00BB2269" w:rsidRDefault="00BB2269" w:rsidP="00BB2269">
      <w:pPr>
        <w:spacing w:line="480" w:lineRule="auto"/>
        <w:rPr>
          <w:rFonts w:cs="Times New Roman"/>
          <w:szCs w:val="24"/>
        </w:rPr>
      </w:pPr>
      <w:r>
        <w:rPr>
          <w:rFonts w:cs="Times New Roman"/>
          <w:szCs w:val="24"/>
        </w:rPr>
        <w:t>High-risk medications vary between health care settings and institutions depending on the patients treated and the types of drugs used. Among the high-alert drugs, the study found unintended discrepancies in patients taking warfarin and hypoglycemic medications</w:t>
      </w:r>
      <w:r w:rsidR="004D0744">
        <w:rPr>
          <w:rFonts w:cs="Times New Roman"/>
          <w:szCs w:val="24"/>
        </w:rPr>
        <w:t>.</w:t>
      </w:r>
      <w:r>
        <w:rPr>
          <w:rFonts w:cs="Times New Roman"/>
          <w:szCs w:val="24"/>
        </w:rPr>
        <w:t xml:space="preserve"> In eight instances, the findings showed that patients taking</w:t>
      </w:r>
      <w:r w:rsidR="005F04A6">
        <w:rPr>
          <w:rFonts w:cs="Times New Roman"/>
          <w:szCs w:val="24"/>
        </w:rPr>
        <w:t xml:space="preserve"> warfarin as a home remedy</w:t>
      </w:r>
      <w:r>
        <w:rPr>
          <w:rFonts w:cs="Times New Roman"/>
          <w:szCs w:val="24"/>
        </w:rPr>
        <w:t xml:space="preserve"> and upon admission to the hospital</w:t>
      </w:r>
      <w:r w:rsidR="005F04A6">
        <w:rPr>
          <w:rFonts w:cs="Times New Roman"/>
          <w:szCs w:val="24"/>
        </w:rPr>
        <w:t>,</w:t>
      </w:r>
      <w:r>
        <w:rPr>
          <w:rFonts w:cs="Times New Roman"/>
          <w:szCs w:val="24"/>
        </w:rPr>
        <w:t xml:space="preserve"> were found to</w:t>
      </w:r>
      <w:r w:rsidR="004D0744">
        <w:rPr>
          <w:rFonts w:cs="Times New Roman"/>
          <w:szCs w:val="24"/>
        </w:rPr>
        <w:t xml:space="preserve"> have an interaction rating that necessitates monitoring to rule out harm</w:t>
      </w:r>
      <w:r>
        <w:rPr>
          <w:rFonts w:cs="Times New Roman"/>
          <w:szCs w:val="24"/>
        </w:rPr>
        <w:t>.</w:t>
      </w:r>
      <w:r w:rsidR="001C47E3">
        <w:rPr>
          <w:rFonts w:cs="Times New Roman"/>
          <w:szCs w:val="24"/>
        </w:rPr>
        <w:t xml:space="preserve"> Boockvar et al (2004) claimed </w:t>
      </w:r>
      <w:r>
        <w:rPr>
          <w:rFonts w:cs="Times New Roman"/>
          <w:szCs w:val="24"/>
        </w:rPr>
        <w:t xml:space="preserve">that the probability of getting a medication error that </w:t>
      </w:r>
      <w:r w:rsidR="001C47E3">
        <w:rPr>
          <w:rFonts w:cs="Times New Roman"/>
          <w:szCs w:val="24"/>
        </w:rPr>
        <w:t>may have implications on the health of the patient</w:t>
      </w:r>
      <w:r>
        <w:rPr>
          <w:rFonts w:cs="Times New Roman"/>
          <w:szCs w:val="24"/>
        </w:rPr>
        <w:t xml:space="preserve"> is amplified as the nu</w:t>
      </w:r>
      <w:r w:rsidR="001C47E3">
        <w:rPr>
          <w:rFonts w:cs="Times New Roman"/>
          <w:szCs w:val="24"/>
        </w:rPr>
        <w:t>mber of high-risk drugs grow</w:t>
      </w:r>
      <w:r>
        <w:rPr>
          <w:rFonts w:cs="Times New Roman"/>
          <w:szCs w:val="24"/>
        </w:rPr>
        <w:t xml:space="preserve">.  </w:t>
      </w:r>
    </w:p>
    <w:p w:rsidR="00BB2269" w:rsidRDefault="00EE255A" w:rsidP="00BB2269">
      <w:pPr>
        <w:spacing w:line="480" w:lineRule="auto"/>
        <w:rPr>
          <w:rFonts w:cs="Times New Roman"/>
          <w:szCs w:val="24"/>
        </w:rPr>
      </w:pPr>
      <w:r>
        <w:rPr>
          <w:rFonts w:cs="Times New Roman"/>
          <w:szCs w:val="24"/>
        </w:rPr>
        <w:t xml:space="preserve">The </w:t>
      </w:r>
      <w:r w:rsidR="00BB2269">
        <w:rPr>
          <w:rFonts w:cs="Times New Roman"/>
          <w:szCs w:val="24"/>
        </w:rPr>
        <w:t>classes of medications that are commonly associated with medication errors vary across the various studies. Most of them point to the ca</w:t>
      </w:r>
      <w:r>
        <w:rPr>
          <w:rFonts w:cs="Times New Roman"/>
          <w:szCs w:val="24"/>
        </w:rPr>
        <w:t>rdiovascular class as the high-risk class for erroneous medication lists</w:t>
      </w:r>
      <w:r w:rsidR="00BB2269">
        <w:rPr>
          <w:rFonts w:cs="Times New Roman"/>
          <w:szCs w:val="24"/>
        </w:rPr>
        <w:t>. Tam et al (2005) reported that the medication groups with more unintended discrepancies were painkillers, sedatives, and cardiovascular drugs. The results of this study reported that lipid-lowering medications (13.4%), antidep</w:t>
      </w:r>
      <w:r>
        <w:rPr>
          <w:rFonts w:cs="Times New Roman"/>
          <w:szCs w:val="24"/>
        </w:rPr>
        <w:t>ressants (10.3%), and</w:t>
      </w:r>
      <w:r w:rsidR="00BB2269">
        <w:rPr>
          <w:rFonts w:cs="Times New Roman"/>
          <w:szCs w:val="24"/>
        </w:rPr>
        <w:t xml:space="preserve"> analgesics (5.8%) were the most </w:t>
      </w:r>
      <w:r w:rsidR="00E26EF0">
        <w:rPr>
          <w:rFonts w:cs="Times New Roman"/>
          <w:szCs w:val="24"/>
        </w:rPr>
        <w:t xml:space="preserve"> common in patient presenting erroneous medication histories</w:t>
      </w:r>
      <w:r w:rsidR="00BB2269">
        <w:rPr>
          <w:rFonts w:cs="Times New Roman"/>
          <w:szCs w:val="24"/>
        </w:rPr>
        <w:t xml:space="preserve">. Variations in formula restrictions, patient </w:t>
      </w:r>
      <w:r w:rsidR="002D3215">
        <w:rPr>
          <w:rFonts w:cs="Times New Roman"/>
          <w:szCs w:val="24"/>
        </w:rPr>
        <w:t>choice</w:t>
      </w:r>
      <w:r w:rsidR="00BB2269">
        <w:rPr>
          <w:rFonts w:cs="Times New Roman"/>
          <w:szCs w:val="24"/>
        </w:rPr>
        <w:t xml:space="preserve">, and prescribing patterns may explain the </w:t>
      </w:r>
      <w:r w:rsidR="002D3215">
        <w:rPr>
          <w:rFonts w:cs="Times New Roman"/>
          <w:szCs w:val="24"/>
        </w:rPr>
        <w:t xml:space="preserve">divergence </w:t>
      </w:r>
      <w:r w:rsidR="00BB2269">
        <w:rPr>
          <w:rFonts w:cs="Times New Roman"/>
          <w:szCs w:val="24"/>
        </w:rPr>
        <w:t>in the fin</w:t>
      </w:r>
      <w:r w:rsidR="002578A2">
        <w:rPr>
          <w:rFonts w:cs="Times New Roman"/>
          <w:szCs w:val="24"/>
        </w:rPr>
        <w:t>dings observed in several studies</w:t>
      </w:r>
      <w:r w:rsidR="00BB2269">
        <w:rPr>
          <w:rFonts w:cs="Times New Roman"/>
          <w:szCs w:val="24"/>
        </w:rPr>
        <w:t>.</w:t>
      </w:r>
      <w:r w:rsidR="00272EF9">
        <w:rPr>
          <w:rFonts w:cs="Times New Roman"/>
          <w:szCs w:val="24"/>
        </w:rPr>
        <w:t xml:space="preserve"> Patients using lipid-lowering therapeutics often omit them when presenting their medication lists because they do not want to continue with the medication. The reason for this is the adverse side effects associated with the drugs. Omission of this class of medication may cause unintended drug interactions in the body</w:t>
      </w:r>
      <w:r w:rsidR="00384D58">
        <w:rPr>
          <w:rFonts w:cs="Times New Roman"/>
          <w:szCs w:val="24"/>
        </w:rPr>
        <w:t xml:space="preserve"> (Eli</w:t>
      </w:r>
      <w:r w:rsidR="006D495B">
        <w:rPr>
          <w:rFonts w:cs="Times New Roman"/>
          <w:szCs w:val="24"/>
        </w:rPr>
        <w:t>s</w:t>
      </w:r>
      <w:r w:rsidR="00384D58">
        <w:rPr>
          <w:rFonts w:cs="Times New Roman"/>
          <w:szCs w:val="24"/>
        </w:rPr>
        <w:t>abeth et al., 2009).</w:t>
      </w:r>
      <w:r w:rsidR="00740E9B">
        <w:rPr>
          <w:rFonts w:cs="Times New Roman"/>
          <w:szCs w:val="24"/>
        </w:rPr>
        <w:t xml:space="preserve"> Errors in the use of antidepressants emanates from the use of off-label drugs</w:t>
      </w:r>
      <w:r w:rsidR="00CB3F4E">
        <w:rPr>
          <w:rFonts w:cs="Times New Roman"/>
          <w:szCs w:val="24"/>
        </w:rPr>
        <w:t xml:space="preserve"> (Rinke et al., 2010)</w:t>
      </w:r>
      <w:r w:rsidR="0053252D">
        <w:rPr>
          <w:rFonts w:cs="Times New Roman"/>
          <w:szCs w:val="24"/>
        </w:rPr>
        <w:t>. These errors occur when patients take a drug twice, take another patient’s medication, or take the wrong prescription as they seek to correct their condition.</w:t>
      </w:r>
      <w:r w:rsidR="00791C16">
        <w:rPr>
          <w:rFonts w:cs="Times New Roman"/>
          <w:szCs w:val="24"/>
        </w:rPr>
        <w:t xml:space="preserve"> Errors from the analgesics prescription are likely to be wrong medication, wrong administration route, or wrong dose</w:t>
      </w:r>
      <w:r w:rsidR="0006261A">
        <w:rPr>
          <w:rFonts w:cs="Times New Roman"/>
          <w:szCs w:val="24"/>
        </w:rPr>
        <w:t xml:space="preserve"> (Desai et al., 2013)</w:t>
      </w:r>
    </w:p>
    <w:p w:rsidR="0051046F" w:rsidRDefault="0051046F" w:rsidP="00BB2269">
      <w:pPr>
        <w:spacing w:line="480" w:lineRule="auto"/>
        <w:rPr>
          <w:rFonts w:cs="Times New Roman"/>
          <w:szCs w:val="24"/>
        </w:rPr>
      </w:pPr>
      <w:r>
        <w:rPr>
          <w:rFonts w:cs="Times New Roman"/>
          <w:szCs w:val="24"/>
        </w:rPr>
        <w:t xml:space="preserve">There were 25 cases of polypharmacy among the participants while the odd ratio score for the factor as a predictor of the incidence of medication errors was 8.14 in the univariate analysis and 5.1 in the multivariate regression analysis. These findings present polypharmacy as a crucial determining factor for medication discrepancies. </w:t>
      </w:r>
      <w:r w:rsidR="00AA2769">
        <w:rPr>
          <w:rFonts w:cs="Times New Roman"/>
          <w:szCs w:val="24"/>
        </w:rPr>
        <w:t xml:space="preserve">Inapt polypharmacy imposes negative consequences including extended hospitalization, disability, ill health, adverse drug events, and even bereavement. </w:t>
      </w:r>
      <w:r w:rsidR="00745D18">
        <w:rPr>
          <w:rFonts w:cs="Times New Roman"/>
          <w:szCs w:val="24"/>
        </w:rPr>
        <w:t xml:space="preserve"> It is more common, especially in the older cohort of the participants, as they are more likely to affected by more than one condition thereby necessitating prescription of multiple drugs concurrently.</w:t>
      </w:r>
      <w:r w:rsidR="00BA0EC5">
        <w:rPr>
          <w:rFonts w:cs="Times New Roman"/>
          <w:szCs w:val="24"/>
        </w:rPr>
        <w:t xml:space="preserve"> While only 15 percent of the US population is above 65 years, this cohort account for more than 30 percent of the drug therapy. Studies show that an average elderly patient takes between two to six prescribed medications and at</w:t>
      </w:r>
      <w:r w:rsidR="00307891">
        <w:rPr>
          <w:rFonts w:cs="Times New Roman"/>
          <w:szCs w:val="24"/>
        </w:rPr>
        <w:t xml:space="preserve"> </w:t>
      </w:r>
      <w:r w:rsidR="00BA0EC5">
        <w:rPr>
          <w:rFonts w:cs="Times New Roman"/>
          <w:szCs w:val="24"/>
        </w:rPr>
        <w:t xml:space="preserve">least one nonprescription </w:t>
      </w:r>
      <w:r w:rsidR="0088521D">
        <w:rPr>
          <w:rFonts w:cs="Times New Roman"/>
          <w:szCs w:val="24"/>
        </w:rPr>
        <w:t>drug</w:t>
      </w:r>
      <w:r w:rsidR="00BA0EC5">
        <w:rPr>
          <w:rFonts w:cs="Times New Roman"/>
          <w:szCs w:val="24"/>
        </w:rPr>
        <w:t>.</w:t>
      </w:r>
      <w:r w:rsidR="00143F9A">
        <w:rPr>
          <w:rFonts w:cs="Times New Roman"/>
          <w:szCs w:val="24"/>
        </w:rPr>
        <w:t xml:space="preserve"> On average, a patient with polypharmacy presents two medication errors on a daily basis during the length of hospital stay and 20 percent of these errors are potentially lethal</w:t>
      </w:r>
      <w:r w:rsidR="00D16EF9">
        <w:rPr>
          <w:rFonts w:cs="Times New Roman"/>
          <w:szCs w:val="24"/>
        </w:rPr>
        <w:t xml:space="preserve"> (T</w:t>
      </w:r>
      <w:r w:rsidR="00D16EF9">
        <w:rPr>
          <w:rFonts w:eastAsia="Times New Roman" w:cs="Times New Roman"/>
          <w:szCs w:val="24"/>
        </w:rPr>
        <w:t>awicki</w:t>
      </w:r>
      <w:r w:rsidR="00D16EF9" w:rsidRPr="00D16EF9">
        <w:rPr>
          <w:rFonts w:eastAsia="Times New Roman" w:cs="Times New Roman"/>
          <w:szCs w:val="24"/>
        </w:rPr>
        <w:t xml:space="preserve"> &amp; Gerlach</w:t>
      </w:r>
      <w:r w:rsidR="00D16EF9">
        <w:rPr>
          <w:rFonts w:eastAsia="Times New Roman" w:cs="Times New Roman"/>
          <w:szCs w:val="24"/>
        </w:rPr>
        <w:t>, 2009).</w:t>
      </w:r>
      <w:r w:rsidR="007A623B">
        <w:rPr>
          <w:rFonts w:eastAsia="Times New Roman" w:cs="Times New Roman"/>
          <w:szCs w:val="24"/>
        </w:rPr>
        <w:t xml:space="preserve"> The common errors emanating from polypharmacy include duplicate medication, wrong medication, wrong dosage, under-dose, and over-dose.</w:t>
      </w:r>
    </w:p>
    <w:p w:rsidR="000D3F15" w:rsidRDefault="00AC6084" w:rsidP="00BB2269">
      <w:pPr>
        <w:spacing w:line="480" w:lineRule="auto"/>
        <w:rPr>
          <w:rFonts w:cs="Times New Roman"/>
          <w:szCs w:val="24"/>
        </w:rPr>
      </w:pPr>
      <w:r>
        <w:rPr>
          <w:rFonts w:cs="Times New Roman"/>
          <w:szCs w:val="24"/>
        </w:rPr>
        <w:t>Comorbidity was a significant determining factor on the prevalence of the medication errors with an odd ratio of 3.84 using a 95 percent confidence interval in the univariate regression analysis.</w:t>
      </w:r>
      <w:r w:rsidR="000D3F15">
        <w:rPr>
          <w:rFonts w:cs="Times New Roman"/>
          <w:szCs w:val="24"/>
        </w:rPr>
        <w:t xml:space="preserve"> Two or more illnesses can coexist in a patient, more so the mental diseases such as depression and anxiety. Multiple illnesses elevate the possibility of adverse reactions upon drug administration due to the use of many drugs that counteract each other. Dedefo and his colleagues (2016) reported that having more than one illness during admission increases the probability of </w:t>
      </w:r>
      <w:r w:rsidR="00221C6A">
        <w:rPr>
          <w:rFonts w:cs="Times New Roman"/>
          <w:szCs w:val="24"/>
        </w:rPr>
        <w:t>medication errors that often cause adverse reactions by four fold</w:t>
      </w:r>
      <w:r w:rsidR="00D1416D">
        <w:rPr>
          <w:rFonts w:cs="Times New Roman"/>
          <w:szCs w:val="24"/>
        </w:rPr>
        <w:t>.</w:t>
      </w:r>
      <w:r w:rsidR="00A75C4F">
        <w:rPr>
          <w:rFonts w:cs="Times New Roman"/>
          <w:szCs w:val="24"/>
        </w:rPr>
        <w:t xml:space="preserve"> As the number of diseases in a patient increases, the number of prescribed drugs increases and this gives more room for mistakes and inconsistencies.</w:t>
      </w:r>
      <w:r w:rsidR="00492488">
        <w:rPr>
          <w:rFonts w:cs="Times New Roman"/>
          <w:szCs w:val="24"/>
        </w:rPr>
        <w:t xml:space="preserve"> A study done in the United States supports this by highlighting a significant association between comorbidity and medication errors</w:t>
      </w:r>
      <w:r w:rsidR="00E0114D">
        <w:rPr>
          <w:rFonts w:cs="Times New Roman"/>
          <w:szCs w:val="24"/>
        </w:rPr>
        <w:t xml:space="preserve"> (Ahuja et al., 2012)</w:t>
      </w:r>
      <w:r w:rsidR="00492488">
        <w:rPr>
          <w:rFonts w:cs="Times New Roman"/>
          <w:szCs w:val="24"/>
        </w:rPr>
        <w:t>.</w:t>
      </w:r>
    </w:p>
    <w:p w:rsidR="00BB2269" w:rsidRDefault="00BB2269" w:rsidP="00BB2269">
      <w:pPr>
        <w:spacing w:line="480" w:lineRule="auto"/>
        <w:rPr>
          <w:rFonts w:cs="Times New Roman"/>
          <w:szCs w:val="24"/>
        </w:rPr>
      </w:pPr>
      <w:r>
        <w:rPr>
          <w:rFonts w:cs="Times New Roman"/>
          <w:szCs w:val="24"/>
        </w:rPr>
        <w:t xml:space="preserve">It is </w:t>
      </w:r>
      <w:r w:rsidR="00136854">
        <w:rPr>
          <w:rFonts w:cs="Times New Roman"/>
          <w:szCs w:val="24"/>
        </w:rPr>
        <w:t xml:space="preserve">indispensable for </w:t>
      </w:r>
      <w:r>
        <w:rPr>
          <w:rFonts w:cs="Times New Roman"/>
          <w:szCs w:val="24"/>
        </w:rPr>
        <w:t xml:space="preserve">reconciliation processes to be systematic and </w:t>
      </w:r>
      <w:r w:rsidR="00136854">
        <w:rPr>
          <w:rFonts w:cs="Times New Roman"/>
          <w:szCs w:val="24"/>
        </w:rPr>
        <w:t xml:space="preserve"> possess an appropriate design. They ought to be </w:t>
      </w:r>
      <w:r>
        <w:rPr>
          <w:rFonts w:cs="Times New Roman"/>
          <w:szCs w:val="24"/>
        </w:rPr>
        <w:t xml:space="preserve">companied by detailed guidelines and </w:t>
      </w:r>
      <w:r w:rsidR="00C375C6">
        <w:rPr>
          <w:rFonts w:cs="Times New Roman"/>
          <w:szCs w:val="24"/>
        </w:rPr>
        <w:t>ordered</w:t>
      </w:r>
      <w:r>
        <w:rPr>
          <w:rFonts w:cs="Times New Roman"/>
          <w:szCs w:val="24"/>
        </w:rPr>
        <w:t xml:space="preserve"> forms. Clinical pharmacists are the most suited to execute such a systematic medication reconciliation process. A </w:t>
      </w:r>
      <w:r w:rsidR="0030076D">
        <w:rPr>
          <w:rFonts w:cs="Times New Roman"/>
          <w:szCs w:val="24"/>
        </w:rPr>
        <w:t xml:space="preserve"> past review supports this claim by reporting that </w:t>
      </w:r>
      <w:r>
        <w:rPr>
          <w:rFonts w:cs="Times New Roman"/>
          <w:szCs w:val="24"/>
        </w:rPr>
        <w:t>clinical pharmacists are the most effective at handling medication reconciliation processes</w:t>
      </w:r>
      <w:r w:rsidR="00B537FC">
        <w:rPr>
          <w:rFonts w:cs="Times New Roman"/>
          <w:szCs w:val="24"/>
        </w:rPr>
        <w:t xml:space="preserve"> (Abraham et al., 2009)</w:t>
      </w:r>
      <w:r w:rsidR="00DF7DE1">
        <w:rPr>
          <w:rFonts w:cs="Times New Roman"/>
          <w:szCs w:val="24"/>
        </w:rPr>
        <w:t xml:space="preserve">. However, the available </w:t>
      </w:r>
      <w:r>
        <w:rPr>
          <w:rFonts w:cs="Times New Roman"/>
          <w:szCs w:val="24"/>
        </w:rPr>
        <w:t xml:space="preserve">evidence is insufficient and </w:t>
      </w:r>
      <w:r w:rsidR="00D43943">
        <w:rPr>
          <w:rFonts w:cs="Times New Roman"/>
          <w:szCs w:val="24"/>
        </w:rPr>
        <w:t>more</w:t>
      </w:r>
      <w:r>
        <w:rPr>
          <w:rFonts w:cs="Times New Roman"/>
          <w:szCs w:val="24"/>
        </w:rPr>
        <w:t xml:space="preserve"> comparative studies of </w:t>
      </w:r>
      <w:r w:rsidR="00D43943">
        <w:rPr>
          <w:rFonts w:cs="Times New Roman"/>
          <w:szCs w:val="24"/>
        </w:rPr>
        <w:t xml:space="preserve">the various </w:t>
      </w:r>
      <w:r>
        <w:rPr>
          <w:rFonts w:cs="Times New Roman"/>
          <w:szCs w:val="24"/>
        </w:rPr>
        <w:t xml:space="preserve">reconciliation processes will be imperative </w:t>
      </w:r>
      <w:r w:rsidR="00D43943">
        <w:rPr>
          <w:rFonts w:cs="Times New Roman"/>
          <w:szCs w:val="24"/>
        </w:rPr>
        <w:t>in choosing the</w:t>
      </w:r>
      <w:r>
        <w:rPr>
          <w:rFonts w:cs="Times New Roman"/>
          <w:szCs w:val="24"/>
        </w:rPr>
        <w:t xml:space="preserve"> most effective approach from a economic and clinical viewpoint. </w:t>
      </w:r>
    </w:p>
    <w:p w:rsidR="00BB2269" w:rsidRPr="00122D04" w:rsidRDefault="00BB2269" w:rsidP="00122D04">
      <w:pPr>
        <w:pStyle w:val="Heading2"/>
        <w:spacing w:line="480" w:lineRule="auto"/>
        <w:rPr>
          <w:rFonts w:ascii="Times New Roman" w:hAnsi="Times New Roman" w:cs="Times New Roman"/>
          <w:color w:val="000000" w:themeColor="text1"/>
          <w:sz w:val="24"/>
          <w:szCs w:val="24"/>
        </w:rPr>
      </w:pPr>
      <w:bookmarkStart w:id="23" w:name="_Toc15143778"/>
      <w:r w:rsidRPr="00122D04">
        <w:rPr>
          <w:rFonts w:ascii="Times New Roman" w:hAnsi="Times New Roman" w:cs="Times New Roman"/>
          <w:color w:val="000000" w:themeColor="text1"/>
          <w:sz w:val="24"/>
          <w:szCs w:val="24"/>
        </w:rPr>
        <w:t>Limitations of the Study</w:t>
      </w:r>
      <w:bookmarkEnd w:id="23"/>
    </w:p>
    <w:p w:rsidR="00BB2269" w:rsidRDefault="00BB2269" w:rsidP="00BB2269">
      <w:pPr>
        <w:spacing w:line="480" w:lineRule="auto"/>
        <w:rPr>
          <w:rFonts w:cs="Times New Roman"/>
          <w:szCs w:val="24"/>
        </w:rPr>
      </w:pPr>
      <w:r>
        <w:rPr>
          <w:rFonts w:cs="Times New Roman"/>
          <w:szCs w:val="24"/>
        </w:rPr>
        <w:t xml:space="preserve">The study had a number of limitations. Since the medication interviews were done by caregivers and the pre-admission medication lists were given by the patients, the number of medication errors may have </w:t>
      </w:r>
      <w:r w:rsidR="00A82CAF">
        <w:rPr>
          <w:rFonts w:cs="Times New Roman"/>
          <w:szCs w:val="24"/>
        </w:rPr>
        <w:t>been underrated</w:t>
      </w:r>
      <w:r>
        <w:rPr>
          <w:rFonts w:cs="Times New Roman"/>
          <w:szCs w:val="24"/>
        </w:rPr>
        <w:t xml:space="preserve"> in patients who were too sick or not attended by the caregiver. The information given by the patients was also subject to recall bias. The categorization of discrepancies into intended and unintended relied on the subjective judgment of the research pharmacist on the medical records, which is again subject to bias and therefore may have understated the number of medication errors. The study was conducted in an internal medicine population in a single hospital unit and this limited the generalizability of the findings. </w:t>
      </w:r>
    </w:p>
    <w:p w:rsidR="00BB2269" w:rsidRPr="00122D04" w:rsidRDefault="00BB2269" w:rsidP="00122D04">
      <w:pPr>
        <w:pStyle w:val="Heading2"/>
        <w:spacing w:line="480" w:lineRule="auto"/>
        <w:rPr>
          <w:rFonts w:ascii="Times New Roman" w:hAnsi="Times New Roman" w:cs="Times New Roman"/>
          <w:color w:val="000000" w:themeColor="text1"/>
          <w:sz w:val="24"/>
          <w:szCs w:val="24"/>
        </w:rPr>
      </w:pPr>
      <w:bookmarkStart w:id="24" w:name="_Toc15143779"/>
      <w:r w:rsidRPr="00122D04">
        <w:rPr>
          <w:rFonts w:ascii="Times New Roman" w:hAnsi="Times New Roman" w:cs="Times New Roman"/>
          <w:color w:val="000000" w:themeColor="text1"/>
          <w:sz w:val="24"/>
          <w:szCs w:val="24"/>
        </w:rPr>
        <w:t>Conclusions</w:t>
      </w:r>
      <w:bookmarkEnd w:id="24"/>
    </w:p>
    <w:p w:rsidR="00E52D15" w:rsidRDefault="00BB2269" w:rsidP="00E52D15">
      <w:pPr>
        <w:spacing w:line="480" w:lineRule="auto"/>
        <w:rPr>
          <w:rFonts w:cs="Times New Roman"/>
          <w:szCs w:val="24"/>
        </w:rPr>
      </w:pPr>
      <w:r>
        <w:rPr>
          <w:rFonts w:cs="Times New Roman"/>
          <w:szCs w:val="24"/>
        </w:rPr>
        <w:t>Based on the results of the study, the conclusion is that there is a high prevalence of medication errors in the surgical unit of Hamad General Hospital.  The findings indicate that people over 65 years of age, those patients taking warfarin and hypoglycemic drugs, and patients with polypharmacy are more prone to medication errors. This conclusion highlights the need to introduce preventive measures to ensure that medication lists are accurate and complete at the time of admission.  It would be imperative for the hospital to add clinical pharmacists to facilitate structured medication reconciliations and avoid unintended discrepancies at the admission level. This would reduce the risk of medication errors and adverse effects, especially to the high-risk patients. There is also need for collaboration among the physicians, nurses and other health professionals on the medication reconciliation process. This study present a ground for future research to establish the impact of pre-admission care services on the medication errors prevalence. Systematic medication reconciliation should be done in all patients admitted in the facility.  Among the patients to benefit most from an improved reconciliation process, include older patients, high-risk patients, and those with polypharmacy.</w:t>
      </w:r>
    </w:p>
    <w:p w:rsidR="00214209" w:rsidRPr="00AE79BF" w:rsidRDefault="00E52D15" w:rsidP="00214209">
      <w:pPr>
        <w:pStyle w:val="Heading1"/>
        <w:spacing w:line="480" w:lineRule="auto"/>
        <w:jc w:val="center"/>
        <w:rPr>
          <w:rFonts w:ascii="Times New Roman" w:hAnsi="Times New Roman" w:cs="Times New Roman"/>
          <w:b w:val="0"/>
          <w:color w:val="000000" w:themeColor="text1"/>
          <w:sz w:val="24"/>
          <w:szCs w:val="24"/>
        </w:rPr>
      </w:pPr>
      <w:r>
        <w:rPr>
          <w:rFonts w:cs="Times New Roman"/>
          <w:szCs w:val="24"/>
        </w:rPr>
        <w:br w:type="page"/>
      </w:r>
      <w:bookmarkStart w:id="25" w:name="_Toc15143780"/>
      <w:r w:rsidR="00214209" w:rsidRPr="00AE79BF">
        <w:rPr>
          <w:rFonts w:ascii="Times New Roman" w:hAnsi="Times New Roman" w:cs="Times New Roman"/>
          <w:b w:val="0"/>
          <w:color w:val="000000" w:themeColor="text1"/>
          <w:sz w:val="24"/>
          <w:szCs w:val="24"/>
        </w:rPr>
        <w:t>References</w:t>
      </w:r>
      <w:bookmarkEnd w:id="25"/>
    </w:p>
    <w:p w:rsidR="00B537FC" w:rsidRDefault="00B537FC" w:rsidP="00B537FC">
      <w:pPr>
        <w:spacing w:after="0" w:line="480" w:lineRule="auto"/>
        <w:rPr>
          <w:rFonts w:eastAsia="Times New Roman" w:cs="Times New Roman"/>
          <w:szCs w:val="24"/>
        </w:rPr>
      </w:pPr>
      <w:r w:rsidRPr="00B537FC">
        <w:rPr>
          <w:rFonts w:eastAsia="Times New Roman" w:cs="Times New Roman"/>
          <w:szCs w:val="24"/>
        </w:rPr>
        <w:t xml:space="preserve">Abraham, C., Kelly, M. P., West, R., &amp; Michie, S. (2009). The UK National Institute for Health and Clinical Excellence public health guidance on behaviour change: a brief introduction. </w:t>
      </w:r>
      <w:r w:rsidRPr="00B537FC">
        <w:rPr>
          <w:rFonts w:eastAsia="Times New Roman" w:cs="Times New Roman"/>
          <w:i/>
          <w:iCs/>
          <w:szCs w:val="24"/>
        </w:rPr>
        <w:t>Psychology, health &amp; medicine</w:t>
      </w:r>
      <w:r w:rsidRPr="00B537FC">
        <w:rPr>
          <w:rFonts w:eastAsia="Times New Roman" w:cs="Times New Roman"/>
          <w:szCs w:val="24"/>
        </w:rPr>
        <w:t xml:space="preserve">, </w:t>
      </w:r>
      <w:r w:rsidRPr="00B537FC">
        <w:rPr>
          <w:rFonts w:eastAsia="Times New Roman" w:cs="Times New Roman"/>
          <w:i/>
          <w:iCs/>
          <w:szCs w:val="24"/>
        </w:rPr>
        <w:t>14</w:t>
      </w:r>
      <w:r w:rsidRPr="00B537FC">
        <w:rPr>
          <w:rFonts w:eastAsia="Times New Roman" w:cs="Times New Roman"/>
          <w:szCs w:val="24"/>
        </w:rPr>
        <w:t>(1), 1-8.</w:t>
      </w:r>
    </w:p>
    <w:p w:rsidR="00E0114D" w:rsidRDefault="00214209" w:rsidP="00E0114D">
      <w:pPr>
        <w:spacing w:line="480" w:lineRule="auto"/>
        <w:rPr>
          <w:rFonts w:cs="Times New Roman"/>
          <w:szCs w:val="24"/>
        </w:rPr>
      </w:pPr>
      <w:r w:rsidRPr="00B22946">
        <w:rPr>
          <w:rFonts w:cs="Times New Roman"/>
          <w:szCs w:val="24"/>
        </w:rPr>
        <w:t xml:space="preserve">Agrawal, A., Aronson, J.K., Britten, N., Ferner, R.E., De Smet, P.A., Fialová, D., Fitzgerald, R.J., Likić, R., Maxwell, S.R., Meyboom, R.H. and Minuz, P. (2009) Medication errors: problems and recommendations from a consensus meeting. </w:t>
      </w:r>
      <w:r w:rsidRPr="00B22946">
        <w:rPr>
          <w:rFonts w:cs="Times New Roman"/>
          <w:i/>
          <w:iCs/>
          <w:szCs w:val="24"/>
        </w:rPr>
        <w:t>British journal of clinical pharmacology</w:t>
      </w:r>
      <w:r w:rsidRPr="00B22946">
        <w:rPr>
          <w:rFonts w:cs="Times New Roman"/>
          <w:szCs w:val="24"/>
        </w:rPr>
        <w:t xml:space="preserve">, </w:t>
      </w:r>
      <w:r w:rsidRPr="00B22946">
        <w:rPr>
          <w:rFonts w:cs="Times New Roman"/>
          <w:i/>
          <w:iCs/>
          <w:szCs w:val="24"/>
        </w:rPr>
        <w:t>67</w:t>
      </w:r>
      <w:r w:rsidRPr="00B22946">
        <w:rPr>
          <w:rFonts w:cs="Times New Roman"/>
          <w:szCs w:val="24"/>
        </w:rPr>
        <w:t>(6), pp.592-598.</w:t>
      </w:r>
    </w:p>
    <w:p w:rsidR="00E0114D" w:rsidRPr="00E0114D" w:rsidRDefault="00E0114D" w:rsidP="00E0114D">
      <w:pPr>
        <w:spacing w:line="480" w:lineRule="auto"/>
        <w:rPr>
          <w:rFonts w:cs="Times New Roman"/>
          <w:szCs w:val="24"/>
        </w:rPr>
      </w:pPr>
      <w:r w:rsidRPr="00E0114D">
        <w:rPr>
          <w:rFonts w:eastAsia="Times New Roman" w:cs="Times New Roman"/>
          <w:szCs w:val="24"/>
        </w:rPr>
        <w:t xml:space="preserve">Ahuja, N., Zhao, W., &amp; Xiang, H. (2012). Medical errors in US pediatric inpatients with chronic conditions. </w:t>
      </w:r>
      <w:r w:rsidRPr="00E0114D">
        <w:rPr>
          <w:rFonts w:eastAsia="Times New Roman" w:cs="Times New Roman"/>
          <w:i/>
          <w:iCs/>
          <w:szCs w:val="24"/>
        </w:rPr>
        <w:t>Pediatrics</w:t>
      </w:r>
      <w:r w:rsidRPr="00E0114D">
        <w:rPr>
          <w:rFonts w:eastAsia="Times New Roman" w:cs="Times New Roman"/>
          <w:szCs w:val="24"/>
        </w:rPr>
        <w:t xml:space="preserve">, </w:t>
      </w:r>
      <w:r w:rsidRPr="00E0114D">
        <w:rPr>
          <w:rFonts w:eastAsia="Times New Roman" w:cs="Times New Roman"/>
          <w:i/>
          <w:iCs/>
          <w:szCs w:val="24"/>
        </w:rPr>
        <w:t>130</w:t>
      </w:r>
      <w:r w:rsidRPr="00E0114D">
        <w:rPr>
          <w:rFonts w:eastAsia="Times New Roman" w:cs="Times New Roman"/>
          <w:szCs w:val="24"/>
        </w:rPr>
        <w:t>(4), e786-e793.</w:t>
      </w:r>
    </w:p>
    <w:p w:rsidR="00214209" w:rsidRPr="00B22946" w:rsidRDefault="00214209" w:rsidP="00214209">
      <w:pPr>
        <w:spacing w:line="480" w:lineRule="auto"/>
        <w:rPr>
          <w:rFonts w:cs="Times New Roman"/>
          <w:szCs w:val="24"/>
        </w:rPr>
      </w:pPr>
      <w:r w:rsidRPr="00B22946">
        <w:rPr>
          <w:rFonts w:cs="Times New Roman"/>
          <w:szCs w:val="24"/>
        </w:rPr>
        <w:t xml:space="preserve">Aljadhey, H., Alhusan, A., Alburikan, K., Adam, M., Murray, M.D. and Bates, D.W. (2013) Medication safety practices in hospitals: a national survey in Saudi Arabia. </w:t>
      </w:r>
      <w:r w:rsidRPr="00B22946">
        <w:rPr>
          <w:rFonts w:cs="Times New Roman"/>
          <w:i/>
          <w:iCs/>
          <w:szCs w:val="24"/>
        </w:rPr>
        <w:t>Saudi Pharmaceutical Journal</w:t>
      </w:r>
      <w:r w:rsidRPr="00B22946">
        <w:rPr>
          <w:rFonts w:cs="Times New Roman"/>
          <w:szCs w:val="24"/>
        </w:rPr>
        <w:t xml:space="preserve">, </w:t>
      </w:r>
      <w:r w:rsidRPr="00B22946">
        <w:rPr>
          <w:rFonts w:cs="Times New Roman"/>
          <w:i/>
          <w:iCs/>
          <w:szCs w:val="24"/>
        </w:rPr>
        <w:t>21</w:t>
      </w:r>
      <w:r w:rsidRPr="00B22946">
        <w:rPr>
          <w:rFonts w:cs="Times New Roman"/>
          <w:szCs w:val="24"/>
        </w:rPr>
        <w:t>(2), pp.159-164.</w:t>
      </w:r>
    </w:p>
    <w:p w:rsidR="00214209" w:rsidRPr="00B22946" w:rsidRDefault="00214209" w:rsidP="00214209">
      <w:pPr>
        <w:spacing w:line="480" w:lineRule="auto"/>
        <w:rPr>
          <w:rFonts w:cs="Times New Roman"/>
          <w:szCs w:val="24"/>
        </w:rPr>
      </w:pPr>
      <w:r w:rsidRPr="00B22946">
        <w:rPr>
          <w:rFonts w:cs="Times New Roman"/>
          <w:szCs w:val="24"/>
        </w:rPr>
        <w:t>Almanasreh, E., Moles, R. and Chen, T.F. (2016)</w:t>
      </w:r>
      <w:r>
        <w:rPr>
          <w:rFonts w:cs="Times New Roman"/>
          <w:szCs w:val="24"/>
        </w:rPr>
        <w:t>.</w:t>
      </w:r>
      <w:r w:rsidRPr="00B22946">
        <w:rPr>
          <w:rFonts w:cs="Times New Roman"/>
          <w:szCs w:val="24"/>
        </w:rPr>
        <w:t xml:space="preserve"> The medication reconciliation process and classification of discrepancies: a systematic review. </w:t>
      </w:r>
      <w:r w:rsidRPr="00B22946">
        <w:rPr>
          <w:rFonts w:cs="Times New Roman"/>
          <w:i/>
          <w:iCs/>
          <w:szCs w:val="24"/>
        </w:rPr>
        <w:t>British journal of clinical pharmacology</w:t>
      </w:r>
      <w:r w:rsidRPr="00B22946">
        <w:rPr>
          <w:rFonts w:cs="Times New Roman"/>
          <w:szCs w:val="24"/>
        </w:rPr>
        <w:t xml:space="preserve">, </w:t>
      </w:r>
      <w:r w:rsidRPr="00B22946">
        <w:rPr>
          <w:rFonts w:cs="Times New Roman"/>
          <w:i/>
          <w:iCs/>
          <w:szCs w:val="24"/>
        </w:rPr>
        <w:t>82</w:t>
      </w:r>
      <w:r w:rsidRPr="00B22946">
        <w:rPr>
          <w:rFonts w:cs="Times New Roman"/>
          <w:szCs w:val="24"/>
        </w:rPr>
        <w:t>(3), pp.645-658.</w:t>
      </w:r>
    </w:p>
    <w:p w:rsidR="00214209" w:rsidRDefault="00214209" w:rsidP="00214209">
      <w:pPr>
        <w:spacing w:line="480" w:lineRule="auto"/>
        <w:rPr>
          <w:rFonts w:cs="Times New Roman"/>
          <w:szCs w:val="24"/>
        </w:rPr>
      </w:pPr>
      <w:r w:rsidRPr="00B22946">
        <w:rPr>
          <w:rFonts w:cs="Times New Roman"/>
          <w:szCs w:val="24"/>
        </w:rPr>
        <w:t xml:space="preserve">AbuYassin, B.H., Aljadhey, H., Al-Sultan, M., Al-Rashed, S., Adam, M. and Bates, D.W. (2011) Accuracy of the medication history at admission to hospital in Saudi Arabia. </w:t>
      </w:r>
      <w:r w:rsidRPr="00B22946">
        <w:rPr>
          <w:rFonts w:cs="Times New Roman"/>
          <w:i/>
          <w:iCs/>
          <w:szCs w:val="24"/>
        </w:rPr>
        <w:t>Saudi Pharmaceutical Journal</w:t>
      </w:r>
      <w:r w:rsidRPr="00B22946">
        <w:rPr>
          <w:rFonts w:cs="Times New Roman"/>
          <w:szCs w:val="24"/>
        </w:rPr>
        <w:t xml:space="preserve">, </w:t>
      </w:r>
      <w:r w:rsidRPr="00B22946">
        <w:rPr>
          <w:rFonts w:cs="Times New Roman"/>
          <w:i/>
          <w:iCs/>
          <w:szCs w:val="24"/>
        </w:rPr>
        <w:t>19</w:t>
      </w:r>
      <w:r w:rsidRPr="00B22946">
        <w:rPr>
          <w:rFonts w:cs="Times New Roman"/>
          <w:szCs w:val="24"/>
        </w:rPr>
        <w:t>(4), pp.263-267.</w:t>
      </w:r>
    </w:p>
    <w:p w:rsidR="00214209" w:rsidRDefault="00214209" w:rsidP="00214209">
      <w:pPr>
        <w:spacing w:after="0" w:line="480" w:lineRule="auto"/>
        <w:rPr>
          <w:rFonts w:eastAsia="Times New Roman" w:cs="Times New Roman"/>
          <w:szCs w:val="24"/>
        </w:rPr>
      </w:pPr>
      <w:r w:rsidRPr="002715CD">
        <w:rPr>
          <w:rFonts w:eastAsia="Times New Roman" w:cs="Times New Roman"/>
          <w:szCs w:val="24"/>
        </w:rPr>
        <w:t xml:space="preserve">Buckley, M. S., Harinstein, L. M., Clark, K. B., Smithburger, P. L., Eckhardt, D. J., Alexander, E., ... &amp; Kane-Gill, S. L. (2013). Impact of a clinical pharmacy admission medication reconciliation program on medication errors in “high-risk” patients. </w:t>
      </w:r>
      <w:r w:rsidRPr="002715CD">
        <w:rPr>
          <w:rFonts w:eastAsia="Times New Roman" w:cs="Times New Roman"/>
          <w:i/>
          <w:iCs/>
          <w:szCs w:val="24"/>
        </w:rPr>
        <w:t>Annals of Pharmacotherapy</w:t>
      </w:r>
      <w:r w:rsidRPr="002715CD">
        <w:rPr>
          <w:rFonts w:eastAsia="Times New Roman" w:cs="Times New Roman"/>
          <w:szCs w:val="24"/>
        </w:rPr>
        <w:t xml:space="preserve">, </w:t>
      </w:r>
      <w:r w:rsidRPr="002715CD">
        <w:rPr>
          <w:rFonts w:eastAsia="Times New Roman" w:cs="Times New Roman"/>
          <w:i/>
          <w:iCs/>
          <w:szCs w:val="24"/>
        </w:rPr>
        <w:t>47</w:t>
      </w:r>
      <w:r w:rsidRPr="002715CD">
        <w:rPr>
          <w:rFonts w:eastAsia="Times New Roman" w:cs="Times New Roman"/>
          <w:szCs w:val="24"/>
        </w:rPr>
        <w:t>(12), 1599-1610.</w:t>
      </w:r>
    </w:p>
    <w:p w:rsidR="00214209" w:rsidRPr="00B22946" w:rsidRDefault="00214209" w:rsidP="00214209">
      <w:pPr>
        <w:spacing w:line="480" w:lineRule="auto"/>
        <w:rPr>
          <w:rFonts w:cs="Times New Roman"/>
          <w:szCs w:val="24"/>
        </w:rPr>
      </w:pPr>
      <w:r w:rsidRPr="00B22946">
        <w:rPr>
          <w:rFonts w:cs="Times New Roman"/>
          <w:szCs w:val="24"/>
        </w:rPr>
        <w:t xml:space="preserve">Boockvar, K.S., Blum, S., Kugler, A., Livote, E., Mergenhagen, K.A., Nebeker, J.R., Signor, D., Sung, S. and Yeh, J. (2011) Effect of admission medication reconciliation on adverse drug events from admission medication changes. </w:t>
      </w:r>
      <w:r w:rsidRPr="00B22946">
        <w:rPr>
          <w:rFonts w:cs="Times New Roman"/>
          <w:i/>
          <w:iCs/>
          <w:szCs w:val="24"/>
        </w:rPr>
        <w:t>Archives of internal medicine</w:t>
      </w:r>
      <w:r w:rsidRPr="00B22946">
        <w:rPr>
          <w:rFonts w:cs="Times New Roman"/>
          <w:szCs w:val="24"/>
        </w:rPr>
        <w:t xml:space="preserve">, </w:t>
      </w:r>
      <w:r w:rsidRPr="00B22946">
        <w:rPr>
          <w:rFonts w:cs="Times New Roman"/>
          <w:i/>
          <w:iCs/>
          <w:szCs w:val="24"/>
        </w:rPr>
        <w:t>171</w:t>
      </w:r>
      <w:r w:rsidRPr="00B22946">
        <w:rPr>
          <w:rFonts w:cs="Times New Roman"/>
          <w:szCs w:val="24"/>
        </w:rPr>
        <w:t>(9), pp.860-861.</w:t>
      </w:r>
    </w:p>
    <w:p w:rsidR="00214209" w:rsidRPr="00B22946" w:rsidRDefault="00214209" w:rsidP="00214209">
      <w:pPr>
        <w:spacing w:after="0" w:line="480" w:lineRule="auto"/>
        <w:rPr>
          <w:rFonts w:cs="Times New Roman"/>
          <w:szCs w:val="24"/>
        </w:rPr>
      </w:pPr>
      <w:r w:rsidRPr="00B22946">
        <w:rPr>
          <w:rFonts w:eastAsia="Times New Roman" w:cs="Times New Roman"/>
          <w:szCs w:val="24"/>
        </w:rPr>
        <w:t xml:space="preserve">Boockvar, K.S., Liu, S., Goldstein, N., Nebeker, J., Siu, A. and Fried, T. (2009) Prescribing discrepancies likely to cause adverse drug events after patient transfer. </w:t>
      </w:r>
      <w:r w:rsidRPr="00B22946">
        <w:rPr>
          <w:rFonts w:eastAsia="Times New Roman" w:cs="Times New Roman"/>
          <w:i/>
          <w:iCs/>
          <w:szCs w:val="24"/>
        </w:rPr>
        <w:t>BMJ Quality &amp; Safety</w:t>
      </w:r>
      <w:r w:rsidRPr="00B22946">
        <w:rPr>
          <w:rFonts w:eastAsia="Times New Roman" w:cs="Times New Roman"/>
          <w:szCs w:val="24"/>
        </w:rPr>
        <w:t xml:space="preserve">, </w:t>
      </w:r>
      <w:r w:rsidRPr="00B22946">
        <w:rPr>
          <w:rFonts w:eastAsia="Times New Roman" w:cs="Times New Roman"/>
          <w:i/>
          <w:iCs/>
          <w:szCs w:val="24"/>
        </w:rPr>
        <w:t>18</w:t>
      </w:r>
      <w:r w:rsidRPr="00B22946">
        <w:rPr>
          <w:rFonts w:eastAsia="Times New Roman" w:cs="Times New Roman"/>
          <w:szCs w:val="24"/>
        </w:rPr>
        <w:t>(1), pp.32-36.</w:t>
      </w:r>
    </w:p>
    <w:p w:rsidR="00221C6A" w:rsidRDefault="00214209" w:rsidP="00221C6A">
      <w:pPr>
        <w:spacing w:line="480" w:lineRule="auto"/>
        <w:rPr>
          <w:rFonts w:cs="Times New Roman"/>
          <w:szCs w:val="24"/>
        </w:rPr>
      </w:pPr>
      <w:r w:rsidRPr="00B22946">
        <w:rPr>
          <w:rFonts w:cs="Times New Roman"/>
          <w:szCs w:val="24"/>
        </w:rPr>
        <w:t xml:space="preserve">Cornish, P.L., Knowles, S.R., Marchesano, R., Tam, V., Shadowitz, S., Juurlink, D.N. and Etchells, E.E.(2005) Unintended medication discrepancies at the time of hospital admission. </w:t>
      </w:r>
      <w:r w:rsidRPr="00B22946">
        <w:rPr>
          <w:rFonts w:cs="Times New Roman"/>
          <w:i/>
          <w:iCs/>
          <w:szCs w:val="24"/>
        </w:rPr>
        <w:t>Archives of internal medicine</w:t>
      </w:r>
      <w:r w:rsidRPr="00B22946">
        <w:rPr>
          <w:rFonts w:cs="Times New Roman"/>
          <w:szCs w:val="24"/>
        </w:rPr>
        <w:t xml:space="preserve">, </w:t>
      </w:r>
      <w:r w:rsidRPr="00B22946">
        <w:rPr>
          <w:rFonts w:cs="Times New Roman"/>
          <w:i/>
          <w:iCs/>
          <w:szCs w:val="24"/>
        </w:rPr>
        <w:t>165</w:t>
      </w:r>
      <w:r w:rsidRPr="00B22946">
        <w:rPr>
          <w:rFonts w:cs="Times New Roman"/>
          <w:szCs w:val="24"/>
        </w:rPr>
        <w:t>(4), pp.424-429.</w:t>
      </w:r>
    </w:p>
    <w:p w:rsidR="006F7869" w:rsidRDefault="00221C6A" w:rsidP="006F7869">
      <w:pPr>
        <w:spacing w:line="480" w:lineRule="auto"/>
        <w:rPr>
          <w:rFonts w:eastAsia="Times New Roman" w:cs="Times New Roman"/>
          <w:szCs w:val="24"/>
        </w:rPr>
      </w:pPr>
      <w:r w:rsidRPr="00221C6A">
        <w:rPr>
          <w:rFonts w:eastAsia="Times New Roman" w:cs="Times New Roman"/>
          <w:szCs w:val="24"/>
        </w:rPr>
        <w:t xml:space="preserve">Dedefo, M. G., Mitike, A. H., &amp; Angamo, M. T. (2016). Incidence and determinants of medication errors and adverse drug events among hospitalized children in West Ethiopia. </w:t>
      </w:r>
      <w:r w:rsidRPr="00221C6A">
        <w:rPr>
          <w:rFonts w:eastAsia="Times New Roman" w:cs="Times New Roman"/>
          <w:i/>
          <w:iCs/>
          <w:szCs w:val="24"/>
        </w:rPr>
        <w:t>BMC pediatrics</w:t>
      </w:r>
      <w:r w:rsidRPr="00221C6A">
        <w:rPr>
          <w:rFonts w:eastAsia="Times New Roman" w:cs="Times New Roman"/>
          <w:szCs w:val="24"/>
        </w:rPr>
        <w:t xml:space="preserve">, </w:t>
      </w:r>
      <w:r w:rsidRPr="00221C6A">
        <w:rPr>
          <w:rFonts w:eastAsia="Times New Roman" w:cs="Times New Roman"/>
          <w:i/>
          <w:iCs/>
          <w:szCs w:val="24"/>
        </w:rPr>
        <w:t>16</w:t>
      </w:r>
      <w:r w:rsidRPr="00221C6A">
        <w:rPr>
          <w:rFonts w:eastAsia="Times New Roman" w:cs="Times New Roman"/>
          <w:szCs w:val="24"/>
        </w:rPr>
        <w:t>(1), 81.</w:t>
      </w:r>
    </w:p>
    <w:p w:rsidR="006F7869" w:rsidRDefault="006F7869" w:rsidP="006F7869">
      <w:pPr>
        <w:spacing w:line="480" w:lineRule="auto"/>
        <w:rPr>
          <w:rFonts w:eastAsia="Times New Roman" w:cs="Times New Roman"/>
          <w:szCs w:val="24"/>
        </w:rPr>
      </w:pPr>
      <w:r w:rsidRPr="006F7869">
        <w:rPr>
          <w:rFonts w:eastAsia="Times New Roman" w:cs="Times New Roman"/>
          <w:szCs w:val="24"/>
        </w:rPr>
        <w:t xml:space="preserve">Desai, R. J., Williams, C. E., Greene, S. B., Pierson, S., Caprio, A. J., &amp; Hansen, R. A. (2013). Analgesic medication errors in North Carolina nursing homes. </w:t>
      </w:r>
      <w:r w:rsidRPr="006F7869">
        <w:rPr>
          <w:rFonts w:eastAsia="Times New Roman" w:cs="Times New Roman"/>
          <w:i/>
          <w:iCs/>
          <w:szCs w:val="24"/>
        </w:rPr>
        <w:t>Journal of pain &amp; palliative care pharmacotherapy</w:t>
      </w:r>
      <w:r w:rsidRPr="006F7869">
        <w:rPr>
          <w:rFonts w:eastAsia="Times New Roman" w:cs="Times New Roman"/>
          <w:szCs w:val="24"/>
        </w:rPr>
        <w:t xml:space="preserve">, </w:t>
      </w:r>
      <w:r w:rsidRPr="006F7869">
        <w:rPr>
          <w:rFonts w:eastAsia="Times New Roman" w:cs="Times New Roman"/>
          <w:i/>
          <w:iCs/>
          <w:szCs w:val="24"/>
        </w:rPr>
        <w:t>27</w:t>
      </w:r>
      <w:r w:rsidRPr="006F7869">
        <w:rPr>
          <w:rFonts w:eastAsia="Times New Roman" w:cs="Times New Roman"/>
          <w:szCs w:val="24"/>
        </w:rPr>
        <w:t>(2), 125-131.</w:t>
      </w:r>
    </w:p>
    <w:p w:rsidR="00C00AA2" w:rsidRPr="00221C6A" w:rsidRDefault="00C00AA2" w:rsidP="00C00AA2">
      <w:pPr>
        <w:spacing w:line="480" w:lineRule="auto"/>
        <w:rPr>
          <w:rFonts w:eastAsia="Times New Roman" w:cs="Times New Roman"/>
          <w:szCs w:val="24"/>
        </w:rPr>
      </w:pPr>
      <w:r w:rsidRPr="00C00AA2">
        <w:rPr>
          <w:rFonts w:eastAsia="Times New Roman" w:cs="Times New Roman"/>
          <w:szCs w:val="24"/>
        </w:rPr>
        <w:t xml:space="preserve">Elisabeth, A. B., Denig, P., van Vliet, T., &amp; Dekker, J. H. (2009). Reasons of general practitioners for not prescribing lipid-lowering medication to patients with diabetes: a qualitative study. </w:t>
      </w:r>
      <w:r w:rsidRPr="00C00AA2">
        <w:rPr>
          <w:rFonts w:eastAsia="Times New Roman" w:cs="Times New Roman"/>
          <w:i/>
          <w:iCs/>
          <w:szCs w:val="24"/>
        </w:rPr>
        <w:t>BMC Family Practice</w:t>
      </w:r>
      <w:r w:rsidRPr="00C00AA2">
        <w:rPr>
          <w:rFonts w:eastAsia="Times New Roman" w:cs="Times New Roman"/>
          <w:szCs w:val="24"/>
        </w:rPr>
        <w:t xml:space="preserve">, </w:t>
      </w:r>
      <w:r w:rsidRPr="00C00AA2">
        <w:rPr>
          <w:rFonts w:eastAsia="Times New Roman" w:cs="Times New Roman"/>
          <w:i/>
          <w:iCs/>
          <w:szCs w:val="24"/>
        </w:rPr>
        <w:t>10</w:t>
      </w:r>
      <w:r w:rsidRPr="00C00AA2">
        <w:rPr>
          <w:rFonts w:eastAsia="Times New Roman" w:cs="Times New Roman"/>
          <w:szCs w:val="24"/>
        </w:rPr>
        <w:t>(1), 24.</w:t>
      </w:r>
    </w:p>
    <w:p w:rsidR="00214209" w:rsidRPr="00B22946" w:rsidRDefault="00214209" w:rsidP="00214209">
      <w:pPr>
        <w:spacing w:line="480" w:lineRule="auto"/>
        <w:rPr>
          <w:rFonts w:cs="Times New Roman"/>
          <w:szCs w:val="24"/>
        </w:rPr>
      </w:pPr>
      <w:r w:rsidRPr="00B22946">
        <w:rPr>
          <w:rFonts w:cs="Times New Roman"/>
          <w:szCs w:val="24"/>
        </w:rPr>
        <w:t xml:space="preserve">FitzGerald, R.J. (2009) Medication errors: the importance of an accurate drug history. </w:t>
      </w:r>
      <w:r w:rsidRPr="00B22946">
        <w:rPr>
          <w:rFonts w:cs="Times New Roman"/>
          <w:i/>
          <w:iCs/>
          <w:szCs w:val="24"/>
        </w:rPr>
        <w:t>British journal of clinical pharmacology</w:t>
      </w:r>
      <w:r w:rsidRPr="00B22946">
        <w:rPr>
          <w:rFonts w:cs="Times New Roman"/>
          <w:szCs w:val="24"/>
        </w:rPr>
        <w:t xml:space="preserve">, </w:t>
      </w:r>
      <w:r w:rsidRPr="00B22946">
        <w:rPr>
          <w:rFonts w:cs="Times New Roman"/>
          <w:i/>
          <w:iCs/>
          <w:szCs w:val="24"/>
        </w:rPr>
        <w:t>67</w:t>
      </w:r>
      <w:r w:rsidRPr="00B22946">
        <w:rPr>
          <w:rFonts w:cs="Times New Roman"/>
          <w:szCs w:val="24"/>
        </w:rPr>
        <w:t>(6), pp.671-675.</w:t>
      </w:r>
    </w:p>
    <w:p w:rsidR="00214209" w:rsidRDefault="00214209" w:rsidP="00214209">
      <w:pPr>
        <w:spacing w:line="480" w:lineRule="auto"/>
        <w:rPr>
          <w:rFonts w:cs="Times New Roman"/>
          <w:szCs w:val="24"/>
        </w:rPr>
      </w:pPr>
      <w:r w:rsidRPr="00B22946">
        <w:rPr>
          <w:rFonts w:cs="Times New Roman"/>
          <w:szCs w:val="24"/>
        </w:rPr>
        <w:t xml:space="preserve">Frei, P., Huber, L.C., Simon, R.W., Bonani, M. and Lüscher, T.F. (2009) Insufficient medication documentation at hospital admission of cardiac patients: a challenge for medication reconciliation. </w:t>
      </w:r>
      <w:r w:rsidRPr="00B22946">
        <w:rPr>
          <w:rFonts w:cs="Times New Roman"/>
          <w:i/>
          <w:iCs/>
          <w:szCs w:val="24"/>
        </w:rPr>
        <w:t>Journal of cardiovascular pharmacology</w:t>
      </w:r>
      <w:r w:rsidRPr="00B22946">
        <w:rPr>
          <w:rFonts w:cs="Times New Roman"/>
          <w:szCs w:val="24"/>
        </w:rPr>
        <w:t xml:space="preserve">, </w:t>
      </w:r>
      <w:r w:rsidRPr="00B22946">
        <w:rPr>
          <w:rFonts w:cs="Times New Roman"/>
          <w:i/>
          <w:iCs/>
          <w:szCs w:val="24"/>
        </w:rPr>
        <w:t>54</w:t>
      </w:r>
      <w:r w:rsidRPr="00B22946">
        <w:rPr>
          <w:rFonts w:cs="Times New Roman"/>
          <w:szCs w:val="24"/>
        </w:rPr>
        <w:t>(6), pp.497-501.</w:t>
      </w:r>
    </w:p>
    <w:p w:rsidR="00214209" w:rsidRPr="00067EE8" w:rsidRDefault="00214209" w:rsidP="00214209">
      <w:pPr>
        <w:spacing w:after="0" w:line="480" w:lineRule="auto"/>
        <w:rPr>
          <w:rFonts w:eastAsia="Times New Roman" w:cs="Times New Roman"/>
          <w:szCs w:val="24"/>
        </w:rPr>
      </w:pPr>
      <w:r w:rsidRPr="00067EE8">
        <w:rPr>
          <w:rFonts w:eastAsia="Times New Roman" w:cs="Times New Roman"/>
          <w:szCs w:val="24"/>
        </w:rPr>
        <w:t xml:space="preserve">Gleason, K. M., McDaniel, M. R., Feinglass, J., Baker, D. W., Lindquist, L., Liss, D., &amp;Noskin, G. A. (2010). Results of the Medications at Transitions and Clinical Handoffs (MATCH) study: an analysis of medication reconciliation errors and risk factors at hospital admission. </w:t>
      </w:r>
      <w:r w:rsidRPr="00067EE8">
        <w:rPr>
          <w:rFonts w:eastAsia="Times New Roman" w:cs="Times New Roman"/>
          <w:i/>
          <w:iCs/>
          <w:szCs w:val="24"/>
        </w:rPr>
        <w:t>Journal of general internal medicine</w:t>
      </w:r>
      <w:r w:rsidRPr="00067EE8">
        <w:rPr>
          <w:rFonts w:eastAsia="Times New Roman" w:cs="Times New Roman"/>
          <w:szCs w:val="24"/>
        </w:rPr>
        <w:t xml:space="preserve">, </w:t>
      </w:r>
      <w:r w:rsidRPr="00067EE8">
        <w:rPr>
          <w:rFonts w:eastAsia="Times New Roman" w:cs="Times New Roman"/>
          <w:i/>
          <w:iCs/>
          <w:szCs w:val="24"/>
        </w:rPr>
        <w:t>25</w:t>
      </w:r>
      <w:r w:rsidRPr="00067EE8">
        <w:rPr>
          <w:rFonts w:eastAsia="Times New Roman" w:cs="Times New Roman"/>
          <w:szCs w:val="24"/>
        </w:rPr>
        <w:t>(5), 441-447.</w:t>
      </w:r>
    </w:p>
    <w:p w:rsidR="00214209" w:rsidRPr="00B22946" w:rsidRDefault="00214209" w:rsidP="00214209">
      <w:pPr>
        <w:spacing w:line="480" w:lineRule="auto"/>
        <w:rPr>
          <w:rFonts w:cs="Times New Roman"/>
          <w:szCs w:val="24"/>
        </w:rPr>
      </w:pPr>
      <w:r w:rsidRPr="00B22946">
        <w:rPr>
          <w:rFonts w:cs="Times New Roman"/>
          <w:szCs w:val="24"/>
        </w:rPr>
        <w:t xml:space="preserve">Gleason, K.M., Brake, H., Agramonte, V. and Perfetti, C. (2012) Medications at Transitions and Clinical Handoffs (MATCH) toolkit for medication reconciliation. Gleason, K.M., Groszek, J.M., Sullivan, C., Rooney, D., Barnard, C. and Noskin, G.A. (2004) Reconciliation of discrepancies in medication histories and admission orders of newly hospitalized patients. </w:t>
      </w:r>
      <w:r w:rsidRPr="00B22946">
        <w:rPr>
          <w:rFonts w:cs="Times New Roman"/>
          <w:i/>
          <w:iCs/>
          <w:szCs w:val="24"/>
        </w:rPr>
        <w:t>American Journal of Health-System Pharmacy</w:t>
      </w:r>
      <w:r w:rsidRPr="00B22946">
        <w:rPr>
          <w:rFonts w:cs="Times New Roman"/>
          <w:szCs w:val="24"/>
        </w:rPr>
        <w:t xml:space="preserve">, </w:t>
      </w:r>
      <w:r w:rsidRPr="00B22946">
        <w:rPr>
          <w:rFonts w:cs="Times New Roman"/>
          <w:i/>
          <w:iCs/>
          <w:szCs w:val="24"/>
        </w:rPr>
        <w:t>61</w:t>
      </w:r>
      <w:r w:rsidRPr="00B22946">
        <w:rPr>
          <w:rFonts w:cs="Times New Roman"/>
          <w:szCs w:val="24"/>
        </w:rPr>
        <w:t>(16), pp.1689-1695.</w:t>
      </w:r>
    </w:p>
    <w:p w:rsidR="00214209" w:rsidRPr="00B22946" w:rsidRDefault="00214209" w:rsidP="00214209">
      <w:pPr>
        <w:spacing w:line="480" w:lineRule="auto"/>
        <w:rPr>
          <w:rFonts w:cs="Times New Roman"/>
          <w:szCs w:val="24"/>
        </w:rPr>
      </w:pPr>
      <w:r w:rsidRPr="00B22946">
        <w:rPr>
          <w:rFonts w:cs="Times New Roman"/>
          <w:szCs w:val="24"/>
        </w:rPr>
        <w:t xml:space="preserve">Gleason, K.M., McDaniel, M.R., Feinglass, J., Baker, D.W., Lindquist, L., Liss, D. and Noskin, G.A. (2010) Results of the Medications at Transitions and Clinical Handoffs </w:t>
      </w:r>
    </w:p>
    <w:p w:rsidR="00214209" w:rsidRPr="00B22946" w:rsidRDefault="00214209" w:rsidP="00214209">
      <w:pPr>
        <w:spacing w:line="480" w:lineRule="auto"/>
        <w:rPr>
          <w:rFonts w:cs="Times New Roman"/>
          <w:szCs w:val="24"/>
        </w:rPr>
      </w:pPr>
      <w:r w:rsidRPr="00B22946">
        <w:rPr>
          <w:rFonts w:cs="Times New Roman"/>
          <w:szCs w:val="24"/>
        </w:rPr>
        <w:t>Haider, S. I., Johnell, K., Weitoft, G. R., Thorslund, M., &amp;Fastbom, J. (2009). The influence of educational level on polypharmacy and inappropriate drug use: a register</w:t>
      </w:r>
      <w:r w:rsidRPr="00B22946">
        <w:rPr>
          <w:rFonts w:ascii="Cambria Math" w:hAnsi="Cambria Math" w:cs="Times New Roman"/>
          <w:szCs w:val="24"/>
        </w:rPr>
        <w:t>‐</w:t>
      </w:r>
      <w:r w:rsidRPr="00B22946">
        <w:rPr>
          <w:rFonts w:cs="Times New Roman"/>
          <w:szCs w:val="24"/>
        </w:rPr>
        <w:t>based study of more than 600,000 older people. Journal of the American Geriatrics Society, 57(1), 62-69.</w:t>
      </w:r>
    </w:p>
    <w:p w:rsidR="00214209" w:rsidRPr="00B22946" w:rsidRDefault="00214209" w:rsidP="00214209">
      <w:pPr>
        <w:spacing w:line="480" w:lineRule="auto"/>
        <w:rPr>
          <w:rFonts w:cs="Times New Roman"/>
          <w:szCs w:val="24"/>
        </w:rPr>
      </w:pPr>
      <w:r w:rsidRPr="00B22946">
        <w:rPr>
          <w:rFonts w:cs="Times New Roman"/>
          <w:szCs w:val="24"/>
        </w:rPr>
        <w:t xml:space="preserve">Hellström, L.M., Bondesson, Å.,Höglund, P. and Eriksson, T. (2012) Errors in medication history at hospital admission: prevalence and predicting factors. </w:t>
      </w:r>
      <w:r w:rsidRPr="00B22946">
        <w:rPr>
          <w:rFonts w:cs="Times New Roman"/>
          <w:i/>
          <w:iCs/>
          <w:szCs w:val="24"/>
        </w:rPr>
        <w:t>BMC clinical pharmacology</w:t>
      </w:r>
      <w:r w:rsidRPr="00B22946">
        <w:rPr>
          <w:rFonts w:cs="Times New Roman"/>
          <w:szCs w:val="24"/>
        </w:rPr>
        <w:t xml:space="preserve">, </w:t>
      </w:r>
      <w:r w:rsidRPr="00B22946">
        <w:rPr>
          <w:rFonts w:cs="Times New Roman"/>
          <w:i/>
          <w:iCs/>
          <w:szCs w:val="24"/>
        </w:rPr>
        <w:t>12</w:t>
      </w:r>
      <w:r w:rsidRPr="00B22946">
        <w:rPr>
          <w:rFonts w:cs="Times New Roman"/>
          <w:szCs w:val="24"/>
        </w:rPr>
        <w:t>(1), p.9.</w:t>
      </w:r>
    </w:p>
    <w:p w:rsidR="00214209" w:rsidRPr="00B22946" w:rsidRDefault="00214209" w:rsidP="00214209">
      <w:pPr>
        <w:spacing w:line="480" w:lineRule="auto"/>
        <w:rPr>
          <w:rFonts w:cs="Times New Roman"/>
          <w:b/>
          <w:szCs w:val="24"/>
        </w:rPr>
      </w:pPr>
      <w:r w:rsidRPr="00B22946">
        <w:rPr>
          <w:rFonts w:cs="Times New Roman"/>
          <w:szCs w:val="24"/>
        </w:rPr>
        <w:t>Hogg, A., &amp; Agnew, J. (2015) Pharmaceutical Care Part1: A Patient-Centered Approach, Queen University Belfast: The School of Pharmacy.</w:t>
      </w:r>
    </w:p>
    <w:p w:rsidR="00214209" w:rsidRPr="00B22946" w:rsidRDefault="00214209" w:rsidP="00214209">
      <w:pPr>
        <w:spacing w:line="480" w:lineRule="auto"/>
        <w:rPr>
          <w:rFonts w:cs="Times New Roman"/>
          <w:szCs w:val="24"/>
        </w:rPr>
      </w:pPr>
      <w:r w:rsidRPr="00B22946">
        <w:rPr>
          <w:rFonts w:cs="Times New Roman"/>
          <w:szCs w:val="24"/>
        </w:rPr>
        <w:t>Institute for Healthcare Improvement. (2001) How-to guide: prevent adverse drug events by implementing medication reconciliation. Available at http://app.ihi.org/LMS/Content/2cf9e482-3e91-4218-afe3-22f77b5025bc/Upload/HowtoGuidePreventADEs.pdf. (Accessed: Jan 2019)</w:t>
      </w:r>
    </w:p>
    <w:p w:rsidR="00214209" w:rsidRPr="00B22946" w:rsidRDefault="00214209" w:rsidP="00214209">
      <w:pPr>
        <w:spacing w:line="480" w:lineRule="auto"/>
        <w:rPr>
          <w:rFonts w:eastAsia="Times New Roman" w:cs="Times New Roman"/>
          <w:szCs w:val="24"/>
        </w:rPr>
      </w:pPr>
      <w:r w:rsidRPr="00B22946">
        <w:rPr>
          <w:rFonts w:cs="Times New Roman"/>
          <w:szCs w:val="24"/>
        </w:rPr>
        <w:t xml:space="preserve">Interprofessional Education and Practice. (2009) </w:t>
      </w:r>
      <w:r w:rsidRPr="00B22946">
        <w:rPr>
          <w:rFonts w:eastAsia="Times New Roman" w:cs="Times New Roman"/>
          <w:szCs w:val="24"/>
        </w:rPr>
        <w:t>Medication Reconciliation: A Learning Guide. Available at https://meds.queensu.ca/central/assets/modules/mr/1.html (accessed Jan 09, 2019).</w:t>
      </w:r>
    </w:p>
    <w:p w:rsidR="00214209" w:rsidRDefault="00214209" w:rsidP="00214209">
      <w:pPr>
        <w:spacing w:line="480" w:lineRule="auto"/>
        <w:rPr>
          <w:rFonts w:cs="Times New Roman"/>
          <w:szCs w:val="24"/>
        </w:rPr>
      </w:pPr>
      <w:r w:rsidRPr="00B22946">
        <w:rPr>
          <w:rFonts w:cs="Times New Roman"/>
          <w:szCs w:val="24"/>
        </w:rPr>
        <w:t>Kelly, S. (2016)</w:t>
      </w:r>
      <w:r>
        <w:rPr>
          <w:rFonts w:cs="Times New Roman"/>
          <w:szCs w:val="24"/>
        </w:rPr>
        <w:t>.</w:t>
      </w:r>
      <w:r w:rsidRPr="00B22946">
        <w:rPr>
          <w:rFonts w:cs="Times New Roman"/>
          <w:szCs w:val="24"/>
        </w:rPr>
        <w:t xml:space="preserve"> The patient misidentification crisis. Healthcare Innovation. Available at https://www.hcinnovationgroup.com/clinical-it/article/13007940/the-patient-misidentification-crisis (accessed Jan 09, 2019)</w:t>
      </w:r>
    </w:p>
    <w:p w:rsidR="00214209" w:rsidRDefault="00214209" w:rsidP="00214209">
      <w:pPr>
        <w:spacing w:line="480" w:lineRule="auto"/>
        <w:rPr>
          <w:rFonts w:cs="Times New Roman"/>
          <w:szCs w:val="24"/>
        </w:rPr>
      </w:pPr>
      <w:r w:rsidRPr="00B22946">
        <w:rPr>
          <w:rFonts w:cs="Times New Roman"/>
          <w:szCs w:val="24"/>
        </w:rPr>
        <w:t xml:space="preserve">Kreckman, J., Wasey, W., Wise, S., Stevens, T., Millburg, L. and Jaeger, C. (2018) Improving medication reconciliation at hospital admission, discharge and ambulatory care through a transition of care team. </w:t>
      </w:r>
      <w:r w:rsidRPr="00B22946">
        <w:rPr>
          <w:rFonts w:cs="Times New Roman"/>
          <w:i/>
          <w:iCs/>
          <w:szCs w:val="24"/>
        </w:rPr>
        <w:t>BMJ Open Qual</w:t>
      </w:r>
      <w:r w:rsidRPr="00B22946">
        <w:rPr>
          <w:rFonts w:cs="Times New Roman"/>
          <w:szCs w:val="24"/>
        </w:rPr>
        <w:t xml:space="preserve">, </w:t>
      </w:r>
      <w:r w:rsidRPr="00B22946">
        <w:rPr>
          <w:rFonts w:cs="Times New Roman"/>
          <w:i/>
          <w:iCs/>
          <w:szCs w:val="24"/>
        </w:rPr>
        <w:t>7</w:t>
      </w:r>
      <w:r w:rsidRPr="00B22946">
        <w:rPr>
          <w:rFonts w:cs="Times New Roman"/>
          <w:szCs w:val="24"/>
        </w:rPr>
        <w:t>(2), p.e000281.</w:t>
      </w:r>
    </w:p>
    <w:p w:rsidR="00214209" w:rsidRPr="00422312" w:rsidRDefault="00214209" w:rsidP="00214209">
      <w:pPr>
        <w:spacing w:after="0" w:line="480" w:lineRule="auto"/>
        <w:rPr>
          <w:rFonts w:eastAsia="Times New Roman" w:cs="Times New Roman"/>
          <w:szCs w:val="24"/>
        </w:rPr>
      </w:pPr>
      <w:r w:rsidRPr="00422312">
        <w:rPr>
          <w:rFonts w:eastAsia="Times New Roman" w:cs="Times New Roman"/>
          <w:szCs w:val="24"/>
        </w:rPr>
        <w:t xml:space="preserve">Kwan, Y., Fernandes, O. A., Nagge, J. J., Wong, G. G., Huh, J. H., Hurn, D. A., ...&amp;Bajcar, J. M. (2007). Pharmacist medication assessments in a surgical preadmission clinic. </w:t>
      </w:r>
      <w:r w:rsidRPr="00422312">
        <w:rPr>
          <w:rFonts w:eastAsia="Times New Roman" w:cs="Times New Roman"/>
          <w:i/>
          <w:iCs/>
          <w:szCs w:val="24"/>
        </w:rPr>
        <w:t>Archives of Internal Medicine</w:t>
      </w:r>
      <w:r w:rsidRPr="00422312">
        <w:rPr>
          <w:rFonts w:eastAsia="Times New Roman" w:cs="Times New Roman"/>
          <w:szCs w:val="24"/>
        </w:rPr>
        <w:t xml:space="preserve">, </w:t>
      </w:r>
      <w:r w:rsidRPr="00422312">
        <w:rPr>
          <w:rFonts w:eastAsia="Times New Roman" w:cs="Times New Roman"/>
          <w:i/>
          <w:iCs/>
          <w:szCs w:val="24"/>
        </w:rPr>
        <w:t>167</w:t>
      </w:r>
      <w:r w:rsidRPr="00422312">
        <w:rPr>
          <w:rFonts w:eastAsia="Times New Roman" w:cs="Times New Roman"/>
          <w:szCs w:val="24"/>
        </w:rPr>
        <w:t>(10), 1034-1040.</w:t>
      </w:r>
    </w:p>
    <w:p w:rsidR="00214209" w:rsidRPr="00B22946" w:rsidRDefault="00214209" w:rsidP="00214209">
      <w:pPr>
        <w:spacing w:line="480" w:lineRule="auto"/>
        <w:rPr>
          <w:rFonts w:cs="Times New Roman"/>
          <w:szCs w:val="24"/>
        </w:rPr>
      </w:pPr>
      <w:r w:rsidRPr="00B22946">
        <w:rPr>
          <w:rFonts w:cs="Times New Roman"/>
          <w:szCs w:val="24"/>
        </w:rPr>
        <w:t>Lau, H.S., Florax, C., Porsius, A.J. and De Boer, A. (2000)</w:t>
      </w:r>
      <w:r>
        <w:rPr>
          <w:rFonts w:cs="Times New Roman"/>
          <w:szCs w:val="24"/>
        </w:rPr>
        <w:t>.</w:t>
      </w:r>
      <w:r w:rsidRPr="00B22946">
        <w:rPr>
          <w:rFonts w:cs="Times New Roman"/>
          <w:szCs w:val="24"/>
        </w:rPr>
        <w:t xml:space="preserve"> The completeness of medication histories in hospital medical records of patients admitted to general internal medicine wards. </w:t>
      </w:r>
      <w:r w:rsidRPr="00B22946">
        <w:rPr>
          <w:rFonts w:cs="Times New Roman"/>
          <w:i/>
          <w:iCs/>
          <w:szCs w:val="24"/>
        </w:rPr>
        <w:t>British journal of clinical pharmacology</w:t>
      </w:r>
      <w:r w:rsidRPr="00B22946">
        <w:rPr>
          <w:rFonts w:cs="Times New Roman"/>
          <w:szCs w:val="24"/>
        </w:rPr>
        <w:t xml:space="preserve">, </w:t>
      </w:r>
      <w:r w:rsidRPr="00B22946">
        <w:rPr>
          <w:rFonts w:cs="Times New Roman"/>
          <w:i/>
          <w:iCs/>
          <w:szCs w:val="24"/>
        </w:rPr>
        <w:t>49</w:t>
      </w:r>
      <w:r w:rsidRPr="00B22946">
        <w:rPr>
          <w:rFonts w:cs="Times New Roman"/>
          <w:szCs w:val="24"/>
        </w:rPr>
        <w:t>(6), pp.597-603.</w:t>
      </w:r>
    </w:p>
    <w:p w:rsidR="00214209" w:rsidRPr="00B22946" w:rsidRDefault="00214209" w:rsidP="00214209">
      <w:pPr>
        <w:spacing w:line="480" w:lineRule="auto"/>
        <w:rPr>
          <w:rFonts w:cs="Times New Roman"/>
          <w:szCs w:val="24"/>
        </w:rPr>
      </w:pPr>
      <w:r w:rsidRPr="00B22946">
        <w:rPr>
          <w:rFonts w:cs="Times New Roman"/>
          <w:szCs w:val="24"/>
        </w:rPr>
        <w:t xml:space="preserve">Malenka, N. (2013) </w:t>
      </w:r>
      <w:r w:rsidRPr="00B22946">
        <w:rPr>
          <w:rFonts w:cs="Times New Roman"/>
          <w:i/>
          <w:iCs/>
          <w:szCs w:val="24"/>
        </w:rPr>
        <w:t>Evaluating pharmacist based medication reconciliation: a literature review and case study</w:t>
      </w:r>
      <w:r w:rsidRPr="00B22946">
        <w:rPr>
          <w:rFonts w:cs="Times New Roman"/>
          <w:szCs w:val="24"/>
        </w:rPr>
        <w:t xml:space="preserve"> (Doctoral dissertation, University of Pittsburgh). </w:t>
      </w:r>
    </w:p>
    <w:p w:rsidR="00214209" w:rsidRPr="00B22946" w:rsidRDefault="00214209" w:rsidP="00214209">
      <w:pPr>
        <w:spacing w:line="480" w:lineRule="auto"/>
        <w:rPr>
          <w:rFonts w:cs="Times New Roman"/>
          <w:szCs w:val="24"/>
        </w:rPr>
      </w:pPr>
      <w:r w:rsidRPr="00B22946">
        <w:rPr>
          <w:rFonts w:cs="Times New Roman"/>
          <w:szCs w:val="24"/>
        </w:rPr>
        <w:t xml:space="preserve">(MATCH) study: an analysis of medication reconciliation errors and risk factors at hospital admission. </w:t>
      </w:r>
      <w:r w:rsidRPr="00B22946">
        <w:rPr>
          <w:rFonts w:cs="Times New Roman"/>
          <w:i/>
          <w:iCs/>
          <w:szCs w:val="24"/>
        </w:rPr>
        <w:t>Journal of general internal medicine</w:t>
      </w:r>
      <w:r w:rsidRPr="00B22946">
        <w:rPr>
          <w:rFonts w:cs="Times New Roman"/>
          <w:szCs w:val="24"/>
        </w:rPr>
        <w:t xml:space="preserve">, </w:t>
      </w:r>
      <w:r w:rsidRPr="00B22946">
        <w:rPr>
          <w:rFonts w:cs="Times New Roman"/>
          <w:i/>
          <w:iCs/>
          <w:szCs w:val="24"/>
        </w:rPr>
        <w:t>25</w:t>
      </w:r>
      <w:r w:rsidRPr="00B22946">
        <w:rPr>
          <w:rFonts w:cs="Times New Roman"/>
          <w:szCs w:val="24"/>
        </w:rPr>
        <w:t>(5), pp.441-447.</w:t>
      </w:r>
    </w:p>
    <w:p w:rsidR="00214209" w:rsidRPr="00B22946" w:rsidRDefault="00214209" w:rsidP="00214209">
      <w:pPr>
        <w:spacing w:line="480" w:lineRule="auto"/>
        <w:rPr>
          <w:rFonts w:cs="Times New Roman"/>
          <w:szCs w:val="24"/>
        </w:rPr>
      </w:pPr>
      <w:r w:rsidRPr="00B22946">
        <w:rPr>
          <w:rFonts w:cs="Times New Roman"/>
          <w:szCs w:val="24"/>
        </w:rPr>
        <w:t xml:space="preserve">Mazhar, F., Akram, S., Al-Osaimi, Y.A. and Haider, N. (2017) Medication reconciliation errors in a tertiary care hospital in Saudi Arabia: admission discrepancies and risk factors. </w:t>
      </w:r>
      <w:r w:rsidRPr="00B22946">
        <w:rPr>
          <w:rFonts w:cs="Times New Roman"/>
          <w:i/>
          <w:iCs/>
          <w:szCs w:val="24"/>
        </w:rPr>
        <w:t>Pharmacy Practice (Granada)</w:t>
      </w:r>
      <w:r w:rsidRPr="00B22946">
        <w:rPr>
          <w:rFonts w:cs="Times New Roman"/>
          <w:szCs w:val="24"/>
        </w:rPr>
        <w:t xml:space="preserve">, </w:t>
      </w:r>
      <w:r w:rsidRPr="00B22946">
        <w:rPr>
          <w:rFonts w:cs="Times New Roman"/>
          <w:i/>
          <w:iCs/>
          <w:szCs w:val="24"/>
        </w:rPr>
        <w:t>15</w:t>
      </w:r>
      <w:r w:rsidRPr="00B22946">
        <w:rPr>
          <w:rFonts w:cs="Times New Roman"/>
          <w:szCs w:val="24"/>
        </w:rPr>
        <w:t>(1).</w:t>
      </w:r>
    </w:p>
    <w:p w:rsidR="00214209" w:rsidRPr="00B22946" w:rsidRDefault="00214209" w:rsidP="00214209">
      <w:pPr>
        <w:spacing w:line="480" w:lineRule="auto"/>
        <w:rPr>
          <w:rFonts w:cs="Times New Roman"/>
          <w:szCs w:val="24"/>
        </w:rPr>
      </w:pPr>
      <w:r w:rsidRPr="00B22946">
        <w:rPr>
          <w:rFonts w:cs="Times New Roman"/>
          <w:szCs w:val="24"/>
        </w:rPr>
        <w:t>McCaw, B., Agnew, J., Singleton, M., Morrow, N. (2013) PMY7032 pharmaceutical care part 2: Communication information, Queen University Belfast: School of pharmacy.</w:t>
      </w:r>
    </w:p>
    <w:p w:rsidR="00214209" w:rsidRPr="00B22946" w:rsidRDefault="00214209" w:rsidP="00214209">
      <w:pPr>
        <w:spacing w:line="480" w:lineRule="auto"/>
        <w:rPr>
          <w:rFonts w:cs="Times New Roman"/>
          <w:szCs w:val="24"/>
        </w:rPr>
      </w:pPr>
      <w:r w:rsidRPr="00B22946">
        <w:rPr>
          <w:rFonts w:cs="Times New Roman"/>
          <w:szCs w:val="24"/>
        </w:rPr>
        <w:t xml:space="preserve">Meguerditchian, A.N., Krotneva, S., Reidel, K., Huang, A. and Tamblyn, R. (2013) Medication reconciliation at admission and discharge: a time and motion study. </w:t>
      </w:r>
      <w:r w:rsidRPr="00B22946">
        <w:rPr>
          <w:rFonts w:cs="Times New Roman"/>
          <w:i/>
          <w:iCs/>
          <w:szCs w:val="24"/>
        </w:rPr>
        <w:t>BMC health services research</w:t>
      </w:r>
      <w:r w:rsidRPr="00B22946">
        <w:rPr>
          <w:rFonts w:cs="Times New Roman"/>
          <w:szCs w:val="24"/>
        </w:rPr>
        <w:t xml:space="preserve">, </w:t>
      </w:r>
      <w:r w:rsidRPr="00B22946">
        <w:rPr>
          <w:rFonts w:cs="Times New Roman"/>
          <w:i/>
          <w:iCs/>
          <w:szCs w:val="24"/>
        </w:rPr>
        <w:t>13</w:t>
      </w:r>
      <w:r w:rsidRPr="00B22946">
        <w:rPr>
          <w:rFonts w:cs="Times New Roman"/>
          <w:szCs w:val="24"/>
        </w:rPr>
        <w:t>(1), p.485.</w:t>
      </w:r>
    </w:p>
    <w:p w:rsidR="00214209" w:rsidRPr="00B22946" w:rsidRDefault="00214209" w:rsidP="00214209">
      <w:pPr>
        <w:spacing w:line="480" w:lineRule="auto"/>
        <w:rPr>
          <w:rFonts w:cs="Times New Roman"/>
          <w:szCs w:val="24"/>
        </w:rPr>
      </w:pPr>
      <w:r w:rsidRPr="00B22946">
        <w:rPr>
          <w:rFonts w:cs="Times New Roman"/>
          <w:szCs w:val="24"/>
        </w:rPr>
        <w:t>Ministry of Health Singapore. (2018)  National Medication Reconciliation Guidelines. Available at: https://www.moh.gov.sg/docs/librariesprovider5/default-document-library/national-medication-reconciliation-guidelines-2018.pdf (Accessed: DEC 2018).</w:t>
      </w:r>
    </w:p>
    <w:p w:rsidR="00214209" w:rsidRDefault="00214209" w:rsidP="00214209">
      <w:pPr>
        <w:spacing w:line="480" w:lineRule="auto"/>
        <w:rPr>
          <w:rFonts w:cs="Times New Roman"/>
          <w:szCs w:val="24"/>
        </w:rPr>
      </w:pPr>
      <w:r w:rsidRPr="00960ABE">
        <w:rPr>
          <w:rFonts w:cs="Times New Roman"/>
          <w:szCs w:val="24"/>
        </w:rPr>
        <w:t>National Patient Safety Agency. Safety in Doses: Medication Safety Incidents in the NHS. London: The Stationery Office, 2007.</w:t>
      </w:r>
    </w:p>
    <w:p w:rsidR="00656369" w:rsidRDefault="00214209" w:rsidP="00656369">
      <w:pPr>
        <w:spacing w:line="480" w:lineRule="auto"/>
        <w:rPr>
          <w:rFonts w:cs="Times New Roman"/>
          <w:szCs w:val="24"/>
        </w:rPr>
      </w:pPr>
      <w:r w:rsidRPr="00B22946">
        <w:rPr>
          <w:rFonts w:cs="Times New Roman"/>
          <w:szCs w:val="24"/>
        </w:rPr>
        <w:t>National Quality Forum. (2010) Safe Practices for Better Healthcare. Available at https://www.qualityforum.org/Publications/2010/04/Safe_Practices_for_Better_Healthcare_%E2%80%93_2010_Update.aspx. (Accessed: Jan 2019)</w:t>
      </w:r>
    </w:p>
    <w:p w:rsidR="00656369" w:rsidRPr="00656369" w:rsidRDefault="00656369" w:rsidP="00656369">
      <w:pPr>
        <w:spacing w:line="480" w:lineRule="auto"/>
        <w:rPr>
          <w:rFonts w:cs="Times New Roman"/>
          <w:szCs w:val="24"/>
        </w:rPr>
      </w:pPr>
      <w:r w:rsidRPr="00656369">
        <w:rPr>
          <w:rFonts w:eastAsia="Times New Roman" w:cs="Times New Roman"/>
          <w:szCs w:val="24"/>
        </w:rPr>
        <w:t xml:space="preserve">Nester, T. M., &amp; Hale, L. S. (2002). Effectiveness of a pharmacist-acquired medication history in promoting patient safety. </w:t>
      </w:r>
      <w:r w:rsidRPr="00656369">
        <w:rPr>
          <w:rFonts w:eastAsia="Times New Roman" w:cs="Times New Roman"/>
          <w:i/>
          <w:iCs/>
          <w:szCs w:val="24"/>
        </w:rPr>
        <w:t>American Journal of Health-System Pharmacy</w:t>
      </w:r>
      <w:r w:rsidRPr="00656369">
        <w:rPr>
          <w:rFonts w:eastAsia="Times New Roman" w:cs="Times New Roman"/>
          <w:szCs w:val="24"/>
        </w:rPr>
        <w:t xml:space="preserve">, </w:t>
      </w:r>
      <w:r w:rsidRPr="00656369">
        <w:rPr>
          <w:rFonts w:eastAsia="Times New Roman" w:cs="Times New Roman"/>
          <w:i/>
          <w:iCs/>
          <w:szCs w:val="24"/>
        </w:rPr>
        <w:t>59</w:t>
      </w:r>
      <w:r w:rsidRPr="00656369">
        <w:rPr>
          <w:rFonts w:eastAsia="Times New Roman" w:cs="Times New Roman"/>
          <w:szCs w:val="24"/>
        </w:rPr>
        <w:t>(22), 2221-2225.</w:t>
      </w:r>
    </w:p>
    <w:p w:rsidR="00214209" w:rsidRPr="00B22946" w:rsidRDefault="00214209" w:rsidP="00214209">
      <w:pPr>
        <w:spacing w:line="480" w:lineRule="auto"/>
        <w:rPr>
          <w:rFonts w:cs="Times New Roman"/>
          <w:szCs w:val="24"/>
        </w:rPr>
      </w:pPr>
      <w:r w:rsidRPr="00B22946">
        <w:rPr>
          <w:rFonts w:cs="Times New Roman"/>
          <w:szCs w:val="24"/>
        </w:rPr>
        <w:t xml:space="preserve">Nickless, G. and Davies, R. (2016) How to take an accurate and detailed medication history. </w:t>
      </w:r>
      <w:r w:rsidRPr="00B22946">
        <w:rPr>
          <w:rFonts w:cs="Times New Roman"/>
          <w:i/>
          <w:iCs/>
          <w:szCs w:val="24"/>
        </w:rPr>
        <w:t>The Pharmaceutical Journal</w:t>
      </w:r>
      <w:r w:rsidRPr="00B22946">
        <w:rPr>
          <w:rFonts w:cs="Times New Roman"/>
          <w:szCs w:val="24"/>
        </w:rPr>
        <w:t xml:space="preserve">, </w:t>
      </w:r>
      <w:r w:rsidRPr="00B22946">
        <w:rPr>
          <w:rFonts w:cs="Times New Roman"/>
          <w:i/>
          <w:iCs/>
          <w:szCs w:val="24"/>
        </w:rPr>
        <w:t>296</w:t>
      </w:r>
      <w:r w:rsidRPr="00B22946">
        <w:rPr>
          <w:rFonts w:cs="Times New Roman"/>
          <w:szCs w:val="24"/>
        </w:rPr>
        <w:t>, p.7886.</w:t>
      </w:r>
    </w:p>
    <w:p w:rsidR="00214209" w:rsidRPr="00B22946" w:rsidRDefault="00214209" w:rsidP="00214209">
      <w:pPr>
        <w:spacing w:line="480" w:lineRule="auto"/>
        <w:rPr>
          <w:rFonts w:cs="Times New Roman"/>
          <w:szCs w:val="24"/>
        </w:rPr>
      </w:pPr>
      <w:r w:rsidRPr="00B22946">
        <w:rPr>
          <w:rFonts w:cs="Times New Roman"/>
          <w:szCs w:val="24"/>
        </w:rPr>
        <w:t xml:space="preserve">Nickless, G., Noble, H. (2009) How to take an accurate medication history when a patient is admitted. </w:t>
      </w:r>
      <w:r w:rsidRPr="00B22946">
        <w:rPr>
          <w:rFonts w:cs="Times New Roman"/>
          <w:i/>
          <w:szCs w:val="24"/>
        </w:rPr>
        <w:t>The Pharmaceutical Journal</w:t>
      </w:r>
      <w:r w:rsidRPr="00B22946">
        <w:rPr>
          <w:rFonts w:cs="Times New Roman"/>
          <w:szCs w:val="24"/>
        </w:rPr>
        <w:t>, (10044947), pp. 1-5. Available at: https://www.pharmaceutical-journal.com/learning/learning-article/how-to-take-an-accurate-medication-history-when-a-patient-is-admitted/10044947.article (Accessed: Jan 2019).</w:t>
      </w:r>
    </w:p>
    <w:p w:rsidR="00214209" w:rsidRPr="00B22946" w:rsidRDefault="00214209" w:rsidP="00214209">
      <w:pPr>
        <w:spacing w:after="0" w:line="480" w:lineRule="auto"/>
        <w:rPr>
          <w:rFonts w:cs="Times New Roman"/>
          <w:szCs w:val="24"/>
        </w:rPr>
      </w:pPr>
      <w:r w:rsidRPr="00B22946">
        <w:rPr>
          <w:rFonts w:cs="Times New Roman"/>
          <w:szCs w:val="24"/>
        </w:rPr>
        <w:t xml:space="preserve">Procopio, G.L., Faley, B., Wynd, M.A., Finefrock, D., Kobayashi, M. and Feldman, J. (2015) Pharmacy collected medication histories in an observation unit. </w:t>
      </w:r>
      <w:r w:rsidRPr="00B22946">
        <w:rPr>
          <w:rFonts w:cs="Times New Roman"/>
          <w:i/>
          <w:iCs/>
          <w:szCs w:val="24"/>
        </w:rPr>
        <w:t>SAGE open medicine</w:t>
      </w:r>
      <w:r w:rsidRPr="00B22946">
        <w:rPr>
          <w:rFonts w:cs="Times New Roman"/>
          <w:szCs w:val="24"/>
        </w:rPr>
        <w:t xml:space="preserve">, </w:t>
      </w:r>
      <w:r w:rsidRPr="00B22946">
        <w:rPr>
          <w:rFonts w:cs="Times New Roman"/>
          <w:i/>
          <w:iCs/>
          <w:szCs w:val="24"/>
        </w:rPr>
        <w:t>3</w:t>
      </w:r>
      <w:r w:rsidRPr="00B22946">
        <w:rPr>
          <w:rFonts w:cs="Times New Roman"/>
          <w:szCs w:val="24"/>
        </w:rPr>
        <w:t>, p.2050312115598872.</w:t>
      </w:r>
    </w:p>
    <w:p w:rsidR="009205F7" w:rsidRDefault="00214209" w:rsidP="009205F7">
      <w:pPr>
        <w:spacing w:line="480" w:lineRule="auto"/>
        <w:rPr>
          <w:rFonts w:cs="Times New Roman"/>
          <w:szCs w:val="24"/>
        </w:rPr>
      </w:pPr>
      <w:r w:rsidRPr="00B22946">
        <w:rPr>
          <w:rFonts w:cs="Times New Roman"/>
          <w:szCs w:val="24"/>
        </w:rPr>
        <w:t>Rajanandh, M. G. (2018) Medication History Interview and Communication Skills. Department of Pharmacy Practice, SRM College of Pharmacy, SRM University.</w:t>
      </w:r>
    </w:p>
    <w:p w:rsidR="009205F7" w:rsidRPr="009205F7" w:rsidRDefault="009205F7" w:rsidP="009205F7">
      <w:pPr>
        <w:spacing w:line="480" w:lineRule="auto"/>
        <w:rPr>
          <w:rFonts w:cs="Times New Roman"/>
          <w:szCs w:val="24"/>
        </w:rPr>
      </w:pPr>
      <w:r w:rsidRPr="009205F7">
        <w:rPr>
          <w:rFonts w:eastAsia="Times New Roman" w:cs="Times New Roman"/>
          <w:szCs w:val="24"/>
        </w:rPr>
        <w:t xml:space="preserve">Rinke, M. L., Bundy, D. G., Shore, A. D., Colantuoni, E., Morlock, L. L., &amp; Miller, M. R. (2010). Pediatric antidepressant medication errors in a national error reporting database. </w:t>
      </w:r>
      <w:r w:rsidRPr="009205F7">
        <w:rPr>
          <w:rFonts w:eastAsia="Times New Roman" w:cs="Times New Roman"/>
          <w:i/>
          <w:iCs/>
          <w:szCs w:val="24"/>
        </w:rPr>
        <w:t>Journal of Developmental &amp; Behavioral Pediatrics</w:t>
      </w:r>
      <w:r w:rsidRPr="009205F7">
        <w:rPr>
          <w:rFonts w:eastAsia="Times New Roman" w:cs="Times New Roman"/>
          <w:szCs w:val="24"/>
        </w:rPr>
        <w:t xml:space="preserve">, </w:t>
      </w:r>
      <w:r w:rsidRPr="009205F7">
        <w:rPr>
          <w:rFonts w:eastAsia="Times New Roman" w:cs="Times New Roman"/>
          <w:i/>
          <w:iCs/>
          <w:szCs w:val="24"/>
        </w:rPr>
        <w:t>31</w:t>
      </w:r>
      <w:r w:rsidRPr="009205F7">
        <w:rPr>
          <w:rFonts w:eastAsia="Times New Roman" w:cs="Times New Roman"/>
          <w:szCs w:val="24"/>
        </w:rPr>
        <w:t>(2), 129-136.</w:t>
      </w:r>
    </w:p>
    <w:p w:rsidR="00214209" w:rsidRPr="00B22946" w:rsidRDefault="00214209" w:rsidP="00214209">
      <w:pPr>
        <w:spacing w:line="480" w:lineRule="auto"/>
        <w:rPr>
          <w:rFonts w:cs="Times New Roman"/>
          <w:szCs w:val="24"/>
        </w:rPr>
      </w:pPr>
      <w:r w:rsidRPr="00B22946">
        <w:rPr>
          <w:rFonts w:cs="Times New Roman"/>
          <w:szCs w:val="24"/>
        </w:rPr>
        <w:t xml:space="preserve">Roughead, L., Semple, S. and Rosenfeld, E. (2013) Literature review: medication safety in Australia. </w:t>
      </w:r>
      <w:r w:rsidRPr="00B22946">
        <w:rPr>
          <w:rFonts w:cs="Times New Roman"/>
          <w:i/>
          <w:iCs/>
          <w:szCs w:val="24"/>
        </w:rPr>
        <w:t>Sydney: Australian Commission on Safety and Quality in Health Care</w:t>
      </w:r>
      <w:r w:rsidRPr="00B22946">
        <w:rPr>
          <w:rFonts w:cs="Times New Roman"/>
          <w:szCs w:val="24"/>
        </w:rPr>
        <w:t>.</w:t>
      </w:r>
    </w:p>
    <w:p w:rsidR="00D16EF9" w:rsidRDefault="00214209" w:rsidP="00D16EF9">
      <w:pPr>
        <w:spacing w:line="480" w:lineRule="auto"/>
        <w:rPr>
          <w:rFonts w:cs="Times New Roman"/>
          <w:szCs w:val="24"/>
        </w:rPr>
      </w:pPr>
      <w:r w:rsidRPr="00B22946">
        <w:rPr>
          <w:rFonts w:cs="Times New Roman"/>
          <w:szCs w:val="24"/>
        </w:rPr>
        <w:t xml:space="preserve">Spalla, L.D.R. and Castilho, S.R.D. (2016) Medication reconciliation as a strategy for preventing medication errors. </w:t>
      </w:r>
      <w:r w:rsidRPr="00B22946">
        <w:rPr>
          <w:rFonts w:cs="Times New Roman"/>
          <w:i/>
          <w:iCs/>
          <w:szCs w:val="24"/>
        </w:rPr>
        <w:t>Brazilian Journal of Pharmaceutical Sciences</w:t>
      </w:r>
      <w:r w:rsidRPr="00B22946">
        <w:rPr>
          <w:rFonts w:cs="Times New Roman"/>
          <w:szCs w:val="24"/>
        </w:rPr>
        <w:t xml:space="preserve">, </w:t>
      </w:r>
      <w:r w:rsidRPr="00B22946">
        <w:rPr>
          <w:rFonts w:cs="Times New Roman"/>
          <w:i/>
          <w:iCs/>
          <w:szCs w:val="24"/>
        </w:rPr>
        <w:t>52</w:t>
      </w:r>
      <w:r w:rsidRPr="00B22946">
        <w:rPr>
          <w:rFonts w:cs="Times New Roman"/>
          <w:szCs w:val="24"/>
        </w:rPr>
        <w:t>(1), pp.143-150.</w:t>
      </w:r>
    </w:p>
    <w:p w:rsidR="00D16EF9" w:rsidRPr="00D16EF9" w:rsidRDefault="00D16EF9" w:rsidP="00D16EF9">
      <w:pPr>
        <w:spacing w:line="480" w:lineRule="auto"/>
        <w:rPr>
          <w:rFonts w:cs="Times New Roman"/>
          <w:szCs w:val="24"/>
        </w:rPr>
      </w:pPr>
      <w:r w:rsidRPr="00D16EF9">
        <w:rPr>
          <w:rFonts w:eastAsia="Times New Roman" w:cs="Times New Roman"/>
          <w:szCs w:val="24"/>
        </w:rPr>
        <w:t xml:space="preserve">Stawicki, S. P., &amp; Gerlach, A. T. (2009). Polypharmacy and medication errors: Stop, listen, look, and analyze. </w:t>
      </w:r>
      <w:r w:rsidRPr="00D16EF9">
        <w:rPr>
          <w:rFonts w:eastAsia="Times New Roman" w:cs="Times New Roman"/>
          <w:i/>
          <w:iCs/>
          <w:szCs w:val="24"/>
        </w:rPr>
        <w:t>Opus</w:t>
      </w:r>
      <w:r w:rsidRPr="00D16EF9">
        <w:rPr>
          <w:rFonts w:eastAsia="Times New Roman" w:cs="Times New Roman"/>
          <w:szCs w:val="24"/>
        </w:rPr>
        <w:t xml:space="preserve">, </w:t>
      </w:r>
      <w:r w:rsidRPr="00D16EF9">
        <w:rPr>
          <w:rFonts w:eastAsia="Times New Roman" w:cs="Times New Roman"/>
          <w:i/>
          <w:iCs/>
          <w:szCs w:val="24"/>
        </w:rPr>
        <w:t>12</w:t>
      </w:r>
      <w:r w:rsidRPr="00D16EF9">
        <w:rPr>
          <w:rFonts w:eastAsia="Times New Roman" w:cs="Times New Roman"/>
          <w:szCs w:val="24"/>
        </w:rPr>
        <w:t>, 6-10.</w:t>
      </w:r>
    </w:p>
    <w:p w:rsidR="00214209" w:rsidRPr="00B22946" w:rsidRDefault="00214209" w:rsidP="00214209">
      <w:pPr>
        <w:spacing w:line="480" w:lineRule="auto"/>
        <w:rPr>
          <w:rFonts w:cs="Times New Roman"/>
          <w:szCs w:val="24"/>
        </w:rPr>
      </w:pPr>
      <w:r w:rsidRPr="00B22946">
        <w:rPr>
          <w:rFonts w:cs="Times New Roman"/>
          <w:szCs w:val="24"/>
        </w:rPr>
        <w:t xml:space="preserve">Tam, V.C., Knowles, S.R., Cornish, P.L., Fine, N., Marchesano, R. and Etchells, E.E. (2005) Frequency, type and clinical importance of medication history errors at admission to hospital: a systematic review. </w:t>
      </w:r>
      <w:r w:rsidRPr="00B22946">
        <w:rPr>
          <w:rFonts w:cs="Times New Roman"/>
          <w:i/>
          <w:iCs/>
          <w:szCs w:val="24"/>
        </w:rPr>
        <w:t>Cmaj</w:t>
      </w:r>
      <w:r w:rsidRPr="00B22946">
        <w:rPr>
          <w:rFonts w:cs="Times New Roman"/>
          <w:szCs w:val="24"/>
        </w:rPr>
        <w:t xml:space="preserve">, </w:t>
      </w:r>
      <w:r w:rsidRPr="00B22946">
        <w:rPr>
          <w:rFonts w:cs="Times New Roman"/>
          <w:i/>
          <w:iCs/>
          <w:szCs w:val="24"/>
        </w:rPr>
        <w:t>173</w:t>
      </w:r>
      <w:r w:rsidRPr="00B22946">
        <w:rPr>
          <w:rFonts w:cs="Times New Roman"/>
          <w:szCs w:val="24"/>
        </w:rPr>
        <w:t>(5), pp.510-515.</w:t>
      </w:r>
    </w:p>
    <w:p w:rsidR="00214209" w:rsidRDefault="00214209" w:rsidP="00214209">
      <w:pPr>
        <w:spacing w:line="480" w:lineRule="auto"/>
        <w:rPr>
          <w:rFonts w:cs="Times New Roman"/>
          <w:szCs w:val="24"/>
        </w:rPr>
      </w:pPr>
      <w:r w:rsidRPr="00B22946">
        <w:rPr>
          <w:rFonts w:cs="Times New Roman"/>
          <w:szCs w:val="24"/>
        </w:rPr>
        <w:t xml:space="preserve">Tietze, K.J. (2011) </w:t>
      </w:r>
      <w:r w:rsidRPr="00B22946">
        <w:rPr>
          <w:rFonts w:cs="Times New Roman"/>
          <w:i/>
          <w:iCs/>
          <w:szCs w:val="24"/>
        </w:rPr>
        <w:t>Clinical Skills for Pharmacists: A Patient-focused Approach Chapter 3</w:t>
      </w:r>
      <w:r w:rsidRPr="00B22946">
        <w:rPr>
          <w:rFonts w:cs="Times New Roman"/>
          <w:szCs w:val="24"/>
        </w:rPr>
        <w:t>. Elsevier Health Sciences.</w:t>
      </w:r>
    </w:p>
    <w:p w:rsidR="00214209" w:rsidRPr="001A4DE5" w:rsidRDefault="00214209" w:rsidP="00214209">
      <w:pPr>
        <w:spacing w:line="480" w:lineRule="auto"/>
        <w:rPr>
          <w:rFonts w:cs="Times New Roman"/>
          <w:szCs w:val="24"/>
        </w:rPr>
      </w:pPr>
      <w:r w:rsidRPr="001A4DE5">
        <w:rPr>
          <w:rFonts w:eastAsia="Times New Roman" w:cs="Times New Roman"/>
          <w:szCs w:val="24"/>
        </w:rPr>
        <w:t xml:space="preserve">Unroe, K. T., Pfeiffenberger, T., Riegelhaupt, S., Jastrzembski, J., Lokhnygina, Y., &amp; Colón-Emeric, C. (2010). Inpatient medication reconciliation at admission and discharge: a retrospective cohort study of age and other risk factors for medication discrepancies. </w:t>
      </w:r>
      <w:r w:rsidRPr="001A4DE5">
        <w:rPr>
          <w:rFonts w:eastAsia="Times New Roman" w:cs="Times New Roman"/>
          <w:i/>
          <w:iCs/>
          <w:szCs w:val="24"/>
        </w:rPr>
        <w:t>The American journal of geriatric pharmacotherapy</w:t>
      </w:r>
      <w:r w:rsidRPr="001A4DE5">
        <w:rPr>
          <w:rFonts w:eastAsia="Times New Roman" w:cs="Times New Roman"/>
          <w:szCs w:val="24"/>
        </w:rPr>
        <w:t xml:space="preserve">, </w:t>
      </w:r>
      <w:r w:rsidRPr="001A4DE5">
        <w:rPr>
          <w:rFonts w:eastAsia="Times New Roman" w:cs="Times New Roman"/>
          <w:i/>
          <w:iCs/>
          <w:szCs w:val="24"/>
        </w:rPr>
        <w:t>8</w:t>
      </w:r>
      <w:r w:rsidRPr="001A4DE5">
        <w:rPr>
          <w:rFonts w:eastAsia="Times New Roman" w:cs="Times New Roman"/>
          <w:szCs w:val="24"/>
        </w:rPr>
        <w:t>(2), 115-126.</w:t>
      </w:r>
    </w:p>
    <w:p w:rsidR="00214209" w:rsidRPr="00B22946" w:rsidRDefault="00214209" w:rsidP="00214209">
      <w:pPr>
        <w:spacing w:line="480" w:lineRule="auto"/>
        <w:rPr>
          <w:rFonts w:cs="Times New Roman"/>
          <w:szCs w:val="24"/>
        </w:rPr>
      </w:pPr>
      <w:r w:rsidRPr="00B22946">
        <w:rPr>
          <w:rFonts w:cs="Times New Roman"/>
          <w:szCs w:val="24"/>
        </w:rPr>
        <w:t xml:space="preserve">Vira, T., Colquhoun, M. and Etchells, E. (2006) Reconcilable differences: correcting medication errors at hospital admission and discharge. </w:t>
      </w:r>
      <w:r w:rsidRPr="00B22946">
        <w:rPr>
          <w:rFonts w:cs="Times New Roman"/>
          <w:i/>
          <w:iCs/>
          <w:szCs w:val="24"/>
        </w:rPr>
        <w:t>BMJ Quality &amp; Safety</w:t>
      </w:r>
      <w:r w:rsidRPr="00B22946">
        <w:rPr>
          <w:rFonts w:cs="Times New Roman"/>
          <w:szCs w:val="24"/>
        </w:rPr>
        <w:t xml:space="preserve">, </w:t>
      </w:r>
      <w:r w:rsidRPr="00B22946">
        <w:rPr>
          <w:rFonts w:cs="Times New Roman"/>
          <w:i/>
          <w:iCs/>
          <w:szCs w:val="24"/>
        </w:rPr>
        <w:t>15</w:t>
      </w:r>
      <w:r w:rsidRPr="00B22946">
        <w:rPr>
          <w:rFonts w:cs="Times New Roman"/>
          <w:szCs w:val="24"/>
        </w:rPr>
        <w:t>(2), pp.122-126.</w:t>
      </w:r>
    </w:p>
    <w:p w:rsidR="00214209" w:rsidRPr="00B22946" w:rsidRDefault="00214209" w:rsidP="00214209">
      <w:pPr>
        <w:spacing w:line="480" w:lineRule="auto"/>
        <w:rPr>
          <w:rFonts w:cs="Times New Roman"/>
          <w:szCs w:val="24"/>
        </w:rPr>
      </w:pPr>
      <w:r w:rsidRPr="00B22946">
        <w:rPr>
          <w:rFonts w:cs="Times New Roman"/>
          <w:szCs w:val="24"/>
        </w:rPr>
        <w:t xml:space="preserve">World Health Organization. (2007) Assuring medication accuracy at transitions in care. </w:t>
      </w:r>
      <w:r w:rsidRPr="00B22946">
        <w:rPr>
          <w:rFonts w:cs="Times New Roman"/>
          <w:i/>
          <w:iCs/>
          <w:szCs w:val="24"/>
        </w:rPr>
        <w:t>Patient Safety Solution</w:t>
      </w:r>
      <w:r w:rsidRPr="00B22946">
        <w:rPr>
          <w:rFonts w:cs="Times New Roman"/>
          <w:szCs w:val="24"/>
        </w:rPr>
        <w:t xml:space="preserve">, </w:t>
      </w:r>
      <w:r w:rsidRPr="00B22946">
        <w:rPr>
          <w:rFonts w:cs="Times New Roman"/>
          <w:i/>
          <w:iCs/>
          <w:szCs w:val="24"/>
        </w:rPr>
        <w:t>1</w:t>
      </w:r>
      <w:r w:rsidRPr="00B22946">
        <w:rPr>
          <w:rFonts w:cs="Times New Roman"/>
          <w:szCs w:val="24"/>
        </w:rPr>
        <w:t>.</w:t>
      </w:r>
    </w:p>
    <w:p w:rsidR="00214209" w:rsidRPr="00B22946" w:rsidRDefault="00214209" w:rsidP="00214209">
      <w:pPr>
        <w:spacing w:line="480" w:lineRule="auto"/>
        <w:rPr>
          <w:rFonts w:cs="Times New Roman"/>
          <w:szCs w:val="24"/>
          <w:lang w:bidi="ar-EG"/>
        </w:rPr>
      </w:pPr>
    </w:p>
    <w:p w:rsidR="00214209" w:rsidRPr="00B22946" w:rsidRDefault="00214209" w:rsidP="00214209">
      <w:pPr>
        <w:spacing w:line="480" w:lineRule="auto"/>
        <w:rPr>
          <w:rFonts w:cs="Times New Roman"/>
          <w:szCs w:val="24"/>
          <w:lang w:bidi="ar-EG"/>
        </w:rPr>
      </w:pPr>
    </w:p>
    <w:p w:rsidR="00214209" w:rsidRPr="00B22946" w:rsidRDefault="00214209" w:rsidP="00214209">
      <w:pPr>
        <w:spacing w:line="480" w:lineRule="auto"/>
        <w:rPr>
          <w:rFonts w:cs="Times New Roman"/>
          <w:szCs w:val="24"/>
          <w:lang w:bidi="ar-EG"/>
        </w:rPr>
      </w:pPr>
    </w:p>
    <w:p w:rsidR="00214209" w:rsidRPr="00B22946" w:rsidRDefault="00214209" w:rsidP="00214209">
      <w:pPr>
        <w:spacing w:line="480" w:lineRule="auto"/>
        <w:rPr>
          <w:rFonts w:cs="Times New Roman"/>
          <w:szCs w:val="24"/>
          <w:lang w:bidi="ar-EG"/>
        </w:rPr>
      </w:pPr>
    </w:p>
    <w:p w:rsidR="00214209" w:rsidRPr="00B22946" w:rsidRDefault="00214209" w:rsidP="00214209">
      <w:pPr>
        <w:spacing w:line="480" w:lineRule="auto"/>
        <w:rPr>
          <w:rFonts w:cs="Times New Roman"/>
          <w:szCs w:val="24"/>
          <w:lang w:bidi="ar-EG"/>
        </w:rPr>
      </w:pPr>
    </w:p>
    <w:p w:rsidR="00F2302B" w:rsidRDefault="00F2302B">
      <w:pPr>
        <w:rPr>
          <w:rFonts w:eastAsiaTheme="majorEastAsia" w:cs="Times New Roman"/>
          <w:b/>
          <w:bCs/>
          <w:szCs w:val="24"/>
          <w:lang w:bidi="ar-EG"/>
        </w:rPr>
      </w:pPr>
      <w:bookmarkStart w:id="26" w:name="_Toc15143781"/>
      <w:r>
        <w:rPr>
          <w:rFonts w:cs="Times New Roman"/>
          <w:szCs w:val="24"/>
          <w:lang w:bidi="ar-EG"/>
        </w:rPr>
        <w:br w:type="page"/>
      </w:r>
    </w:p>
    <w:p w:rsidR="00214209" w:rsidRPr="00B22946" w:rsidRDefault="00214209" w:rsidP="00214209">
      <w:pPr>
        <w:pStyle w:val="Heading1"/>
        <w:spacing w:line="480" w:lineRule="auto"/>
        <w:jc w:val="center"/>
        <w:rPr>
          <w:rFonts w:ascii="Times New Roman" w:hAnsi="Times New Roman" w:cs="Times New Roman"/>
          <w:color w:val="auto"/>
          <w:sz w:val="24"/>
          <w:szCs w:val="24"/>
          <w:lang w:bidi="ar-EG"/>
        </w:rPr>
      </w:pPr>
      <w:r w:rsidRPr="00B22946">
        <w:rPr>
          <w:rFonts w:ascii="Times New Roman" w:hAnsi="Times New Roman" w:cs="Times New Roman"/>
          <w:color w:val="auto"/>
          <w:sz w:val="24"/>
          <w:szCs w:val="24"/>
          <w:lang w:bidi="ar-EG"/>
        </w:rPr>
        <w:t>Appendices</w:t>
      </w:r>
      <w:bookmarkEnd w:id="26"/>
    </w:p>
    <w:p w:rsidR="00214209" w:rsidRPr="00B22946" w:rsidRDefault="00214209" w:rsidP="00214209">
      <w:pPr>
        <w:spacing w:line="480" w:lineRule="auto"/>
        <w:rPr>
          <w:rFonts w:cs="Times New Roman"/>
          <w:b/>
          <w:bCs/>
          <w:szCs w:val="24"/>
          <w:lang w:bidi="ar-EG"/>
        </w:rPr>
      </w:pPr>
      <w:r w:rsidRPr="00B22946">
        <w:rPr>
          <w:rFonts w:cs="Times New Roman"/>
          <w:b/>
          <w:bCs/>
          <w:szCs w:val="24"/>
          <w:lang w:bidi="ar-EG"/>
        </w:rPr>
        <w:t>Appendix 2- Data</w:t>
      </w:r>
      <w:r w:rsidR="001946A6">
        <w:rPr>
          <w:rFonts w:cs="Times New Roman"/>
          <w:b/>
          <w:bCs/>
          <w:szCs w:val="24"/>
          <w:lang w:bidi="ar-EG"/>
        </w:rPr>
        <w:t xml:space="preserve"> </w:t>
      </w:r>
      <w:r w:rsidRPr="00B22946">
        <w:rPr>
          <w:rFonts w:cs="Times New Roman"/>
          <w:b/>
          <w:bCs/>
          <w:szCs w:val="24"/>
          <w:lang w:bidi="ar-EG"/>
        </w:rPr>
        <w:t>Collection Sheet</w:t>
      </w:r>
    </w:p>
    <w:p w:rsidR="00214209" w:rsidRPr="00B22946" w:rsidRDefault="00214209" w:rsidP="00214209">
      <w:pPr>
        <w:spacing w:line="480" w:lineRule="auto"/>
        <w:rPr>
          <w:rFonts w:cs="Times New Roman"/>
          <w:b/>
          <w:bCs/>
          <w:szCs w:val="24"/>
          <w:lang w:bidi="ar-EG"/>
        </w:rPr>
      </w:pPr>
      <w:r w:rsidRPr="00595879">
        <w:rPr>
          <w:rFonts w:cs="Times New Roman"/>
          <w:b/>
          <w:bCs/>
          <w:noProof/>
          <w:szCs w:val="24"/>
        </w:rPr>
        <w:drawing>
          <wp:inline distT="0" distB="0" distL="0" distR="0">
            <wp:extent cx="5996912" cy="6134100"/>
            <wp:effectExtent l="95250" t="0" r="60988" b="0"/>
            <wp:docPr id="4" name="Picture 1" descr="D:\SCANFILE\SCAN00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ANFILE\SCAN0097.JPG"/>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16200000">
                      <a:off x="0" y="0"/>
                      <a:ext cx="5996056" cy="6133224"/>
                    </a:xfrm>
                    <a:prstGeom prst="rect">
                      <a:avLst/>
                    </a:prstGeom>
                    <a:noFill/>
                    <a:ln>
                      <a:noFill/>
                    </a:ln>
                  </pic:spPr>
                </pic:pic>
              </a:graphicData>
            </a:graphic>
          </wp:inline>
        </w:drawing>
      </w:r>
    </w:p>
    <w:p w:rsidR="00214209" w:rsidRPr="00967930" w:rsidRDefault="00214209" w:rsidP="00214209">
      <w:pPr>
        <w:rPr>
          <w:szCs w:val="24"/>
        </w:rPr>
      </w:pPr>
    </w:p>
    <w:p w:rsidR="00E52D15" w:rsidRDefault="00E52D15" w:rsidP="008B015C">
      <w:pPr>
        <w:pStyle w:val="Heading1"/>
        <w:spacing w:line="480" w:lineRule="auto"/>
        <w:jc w:val="center"/>
        <w:rPr>
          <w:rFonts w:cs="Times New Roman"/>
          <w:szCs w:val="24"/>
        </w:rPr>
      </w:pPr>
    </w:p>
    <w:sectPr w:rsidR="00E52D15" w:rsidSect="00B22946">
      <w:headerReference w:type="default" r:id="rId15"/>
      <w:footerReference w:type="default" r:id="rId16"/>
      <w:pgSz w:w="12240" w:h="15840"/>
      <w:pgMar w:top="1440" w:right="1440" w:bottom="1440" w:left="1440" w:header="720" w:footer="720" w:gutter="0"/>
      <w:pgNumType w:start="1" w:chapStyle="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0003" w:rsidRDefault="00A60003">
      <w:pPr>
        <w:spacing w:after="0" w:line="240" w:lineRule="auto"/>
      </w:pPr>
      <w:r>
        <w:separator/>
      </w:r>
    </w:p>
  </w:endnote>
  <w:endnote w:type="continuationSeparator" w:id="1">
    <w:p w:rsidR="00A60003" w:rsidRDefault="00A600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4811098"/>
      <w:docPartObj>
        <w:docPartGallery w:val="Page Numbers (Bottom of Page)"/>
        <w:docPartUnique/>
      </w:docPartObj>
    </w:sdtPr>
    <w:sdtEndPr>
      <w:rPr>
        <w:noProof/>
      </w:rPr>
    </w:sdtEndPr>
    <w:sdtContent>
      <w:p w:rsidR="00EE255A" w:rsidRDefault="00EE255A">
        <w:pPr>
          <w:pStyle w:val="Footer"/>
          <w:jc w:val="right"/>
        </w:pPr>
        <w:r>
          <w:rPr>
            <w:noProof/>
          </w:rPr>
          <w:fldChar w:fldCharType="begin"/>
        </w:r>
        <w:r>
          <w:rPr>
            <w:noProof/>
          </w:rPr>
          <w:instrText xml:space="preserve"> PAGE   \* MERGEFORMAT </w:instrText>
        </w:r>
        <w:r>
          <w:rPr>
            <w:noProof/>
          </w:rPr>
          <w:fldChar w:fldCharType="separate"/>
        </w:r>
        <w:r w:rsidR="00A60003">
          <w:rPr>
            <w:noProof/>
          </w:rPr>
          <w:t>1</w:t>
        </w:r>
        <w:r>
          <w:rPr>
            <w:noProof/>
          </w:rPr>
          <w:fldChar w:fldCharType="end"/>
        </w:r>
      </w:p>
    </w:sdtContent>
  </w:sdt>
  <w:p w:rsidR="00EE255A" w:rsidRDefault="00EE255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0003" w:rsidRDefault="00A60003">
      <w:pPr>
        <w:spacing w:after="0" w:line="240" w:lineRule="auto"/>
      </w:pPr>
      <w:r>
        <w:separator/>
      </w:r>
    </w:p>
  </w:footnote>
  <w:footnote w:type="continuationSeparator" w:id="1">
    <w:p w:rsidR="00A60003" w:rsidRDefault="00A6000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55A" w:rsidRDefault="00EE255A" w:rsidP="008B48A6">
    <w:pPr>
      <w:pStyle w:val="Header"/>
      <w:tabs>
        <w:tab w:val="clear" w:pos="4680"/>
        <w:tab w:val="clear" w:pos="9360"/>
        <w:tab w:val="left" w:pos="7575"/>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76DB5"/>
    <w:multiLevelType w:val="hybridMultilevel"/>
    <w:tmpl w:val="090A3BF6"/>
    <w:lvl w:ilvl="0" w:tplc="FD4A82CC">
      <w:start w:val="1"/>
      <w:numFmt w:val="lowerLetter"/>
      <w:lvlText w:val="%1-"/>
      <w:lvlJc w:val="left"/>
      <w:pPr>
        <w:ind w:left="720" w:hanging="360"/>
      </w:pPr>
      <w:rPr>
        <w:rFonts w:hint="default"/>
      </w:rPr>
    </w:lvl>
    <w:lvl w:ilvl="1" w:tplc="5F78FA0A">
      <w:start w:val="1"/>
      <w:numFmt w:val="lowerLetter"/>
      <w:lvlText w:val="%2."/>
      <w:lvlJc w:val="left"/>
      <w:pPr>
        <w:ind w:left="1440" w:hanging="360"/>
      </w:pPr>
    </w:lvl>
    <w:lvl w:ilvl="2" w:tplc="EF0C46F2" w:tentative="1">
      <w:start w:val="1"/>
      <w:numFmt w:val="lowerRoman"/>
      <w:lvlText w:val="%3."/>
      <w:lvlJc w:val="right"/>
      <w:pPr>
        <w:ind w:left="2160" w:hanging="180"/>
      </w:pPr>
    </w:lvl>
    <w:lvl w:ilvl="3" w:tplc="216A29DC" w:tentative="1">
      <w:start w:val="1"/>
      <w:numFmt w:val="decimal"/>
      <w:lvlText w:val="%4."/>
      <w:lvlJc w:val="left"/>
      <w:pPr>
        <w:ind w:left="2880" w:hanging="360"/>
      </w:pPr>
    </w:lvl>
    <w:lvl w:ilvl="4" w:tplc="3AE4B126" w:tentative="1">
      <w:start w:val="1"/>
      <w:numFmt w:val="lowerLetter"/>
      <w:lvlText w:val="%5."/>
      <w:lvlJc w:val="left"/>
      <w:pPr>
        <w:ind w:left="3600" w:hanging="360"/>
      </w:pPr>
    </w:lvl>
    <w:lvl w:ilvl="5" w:tplc="A4D6205E" w:tentative="1">
      <w:start w:val="1"/>
      <w:numFmt w:val="lowerRoman"/>
      <w:lvlText w:val="%6."/>
      <w:lvlJc w:val="right"/>
      <w:pPr>
        <w:ind w:left="4320" w:hanging="180"/>
      </w:pPr>
    </w:lvl>
    <w:lvl w:ilvl="6" w:tplc="11926626" w:tentative="1">
      <w:start w:val="1"/>
      <w:numFmt w:val="decimal"/>
      <w:lvlText w:val="%7."/>
      <w:lvlJc w:val="left"/>
      <w:pPr>
        <w:ind w:left="5040" w:hanging="360"/>
      </w:pPr>
    </w:lvl>
    <w:lvl w:ilvl="7" w:tplc="573065A4" w:tentative="1">
      <w:start w:val="1"/>
      <w:numFmt w:val="lowerLetter"/>
      <w:lvlText w:val="%8."/>
      <w:lvlJc w:val="left"/>
      <w:pPr>
        <w:ind w:left="5760" w:hanging="360"/>
      </w:pPr>
    </w:lvl>
    <w:lvl w:ilvl="8" w:tplc="A4167A44" w:tentative="1">
      <w:start w:val="1"/>
      <w:numFmt w:val="lowerRoman"/>
      <w:lvlText w:val="%9."/>
      <w:lvlJc w:val="right"/>
      <w:pPr>
        <w:ind w:left="6480" w:hanging="180"/>
      </w:pPr>
    </w:lvl>
  </w:abstractNum>
  <w:abstractNum w:abstractNumId="1">
    <w:nsid w:val="00AD0F56"/>
    <w:multiLevelType w:val="hybridMultilevel"/>
    <w:tmpl w:val="3A1A7070"/>
    <w:lvl w:ilvl="0" w:tplc="B69C01CE">
      <w:start w:val="1"/>
      <w:numFmt w:val="decimal"/>
      <w:lvlText w:val="%1."/>
      <w:lvlJc w:val="left"/>
      <w:pPr>
        <w:ind w:left="720" w:hanging="360"/>
      </w:pPr>
    </w:lvl>
    <w:lvl w:ilvl="1" w:tplc="72B2B8B2" w:tentative="1">
      <w:start w:val="1"/>
      <w:numFmt w:val="lowerLetter"/>
      <w:lvlText w:val="%2."/>
      <w:lvlJc w:val="left"/>
      <w:pPr>
        <w:ind w:left="1440" w:hanging="360"/>
      </w:pPr>
    </w:lvl>
    <w:lvl w:ilvl="2" w:tplc="0882A57C" w:tentative="1">
      <w:start w:val="1"/>
      <w:numFmt w:val="lowerRoman"/>
      <w:lvlText w:val="%3."/>
      <w:lvlJc w:val="right"/>
      <w:pPr>
        <w:ind w:left="2160" w:hanging="180"/>
      </w:pPr>
    </w:lvl>
    <w:lvl w:ilvl="3" w:tplc="FC32B520" w:tentative="1">
      <w:start w:val="1"/>
      <w:numFmt w:val="decimal"/>
      <w:lvlText w:val="%4."/>
      <w:lvlJc w:val="left"/>
      <w:pPr>
        <w:ind w:left="2880" w:hanging="360"/>
      </w:pPr>
    </w:lvl>
    <w:lvl w:ilvl="4" w:tplc="07BABD48" w:tentative="1">
      <w:start w:val="1"/>
      <w:numFmt w:val="lowerLetter"/>
      <w:lvlText w:val="%5."/>
      <w:lvlJc w:val="left"/>
      <w:pPr>
        <w:ind w:left="3600" w:hanging="360"/>
      </w:pPr>
    </w:lvl>
    <w:lvl w:ilvl="5" w:tplc="0782779C" w:tentative="1">
      <w:start w:val="1"/>
      <w:numFmt w:val="lowerRoman"/>
      <w:lvlText w:val="%6."/>
      <w:lvlJc w:val="right"/>
      <w:pPr>
        <w:ind w:left="4320" w:hanging="180"/>
      </w:pPr>
    </w:lvl>
    <w:lvl w:ilvl="6" w:tplc="14A69DFC" w:tentative="1">
      <w:start w:val="1"/>
      <w:numFmt w:val="decimal"/>
      <w:lvlText w:val="%7."/>
      <w:lvlJc w:val="left"/>
      <w:pPr>
        <w:ind w:left="5040" w:hanging="360"/>
      </w:pPr>
    </w:lvl>
    <w:lvl w:ilvl="7" w:tplc="681EBDE0" w:tentative="1">
      <w:start w:val="1"/>
      <w:numFmt w:val="lowerLetter"/>
      <w:lvlText w:val="%8."/>
      <w:lvlJc w:val="left"/>
      <w:pPr>
        <w:ind w:left="5760" w:hanging="360"/>
      </w:pPr>
    </w:lvl>
    <w:lvl w:ilvl="8" w:tplc="DDE2D8D4" w:tentative="1">
      <w:start w:val="1"/>
      <w:numFmt w:val="lowerRoman"/>
      <w:lvlText w:val="%9."/>
      <w:lvlJc w:val="right"/>
      <w:pPr>
        <w:ind w:left="6480" w:hanging="180"/>
      </w:pPr>
    </w:lvl>
  </w:abstractNum>
  <w:abstractNum w:abstractNumId="2">
    <w:nsid w:val="0B171B25"/>
    <w:multiLevelType w:val="hybridMultilevel"/>
    <w:tmpl w:val="00F87368"/>
    <w:lvl w:ilvl="0" w:tplc="815412A6">
      <w:start w:val="1"/>
      <w:numFmt w:val="decimal"/>
      <w:lvlText w:val="%1."/>
      <w:lvlJc w:val="left"/>
      <w:pPr>
        <w:ind w:left="720" w:hanging="360"/>
      </w:pPr>
    </w:lvl>
    <w:lvl w:ilvl="1" w:tplc="DAD241A4" w:tentative="1">
      <w:start w:val="1"/>
      <w:numFmt w:val="lowerLetter"/>
      <w:lvlText w:val="%2."/>
      <w:lvlJc w:val="left"/>
      <w:pPr>
        <w:ind w:left="1440" w:hanging="360"/>
      </w:pPr>
    </w:lvl>
    <w:lvl w:ilvl="2" w:tplc="B5EE1F6C" w:tentative="1">
      <w:start w:val="1"/>
      <w:numFmt w:val="lowerRoman"/>
      <w:lvlText w:val="%3."/>
      <w:lvlJc w:val="right"/>
      <w:pPr>
        <w:ind w:left="2160" w:hanging="180"/>
      </w:pPr>
    </w:lvl>
    <w:lvl w:ilvl="3" w:tplc="E48ECC52" w:tentative="1">
      <w:start w:val="1"/>
      <w:numFmt w:val="decimal"/>
      <w:lvlText w:val="%4."/>
      <w:lvlJc w:val="left"/>
      <w:pPr>
        <w:ind w:left="2880" w:hanging="360"/>
      </w:pPr>
    </w:lvl>
    <w:lvl w:ilvl="4" w:tplc="F2BE12C2" w:tentative="1">
      <w:start w:val="1"/>
      <w:numFmt w:val="lowerLetter"/>
      <w:lvlText w:val="%5."/>
      <w:lvlJc w:val="left"/>
      <w:pPr>
        <w:ind w:left="3600" w:hanging="360"/>
      </w:pPr>
    </w:lvl>
    <w:lvl w:ilvl="5" w:tplc="1E46C100" w:tentative="1">
      <w:start w:val="1"/>
      <w:numFmt w:val="lowerRoman"/>
      <w:lvlText w:val="%6."/>
      <w:lvlJc w:val="right"/>
      <w:pPr>
        <w:ind w:left="4320" w:hanging="180"/>
      </w:pPr>
    </w:lvl>
    <w:lvl w:ilvl="6" w:tplc="A4223D7C" w:tentative="1">
      <w:start w:val="1"/>
      <w:numFmt w:val="decimal"/>
      <w:lvlText w:val="%7."/>
      <w:lvlJc w:val="left"/>
      <w:pPr>
        <w:ind w:left="5040" w:hanging="360"/>
      </w:pPr>
    </w:lvl>
    <w:lvl w:ilvl="7" w:tplc="30E076B6" w:tentative="1">
      <w:start w:val="1"/>
      <w:numFmt w:val="lowerLetter"/>
      <w:lvlText w:val="%8."/>
      <w:lvlJc w:val="left"/>
      <w:pPr>
        <w:ind w:left="5760" w:hanging="360"/>
      </w:pPr>
    </w:lvl>
    <w:lvl w:ilvl="8" w:tplc="A92213D8" w:tentative="1">
      <w:start w:val="1"/>
      <w:numFmt w:val="lowerRoman"/>
      <w:lvlText w:val="%9."/>
      <w:lvlJc w:val="right"/>
      <w:pPr>
        <w:ind w:left="6480" w:hanging="180"/>
      </w:pPr>
    </w:lvl>
  </w:abstractNum>
  <w:abstractNum w:abstractNumId="3">
    <w:nsid w:val="0CBD64F3"/>
    <w:multiLevelType w:val="hybridMultilevel"/>
    <w:tmpl w:val="5EEC1EA6"/>
    <w:lvl w:ilvl="0" w:tplc="A3B02D46">
      <w:start w:val="1"/>
      <w:numFmt w:val="decimal"/>
      <w:lvlText w:val="%1."/>
      <w:lvlJc w:val="left"/>
      <w:pPr>
        <w:ind w:left="720" w:hanging="360"/>
      </w:pPr>
    </w:lvl>
    <w:lvl w:ilvl="1" w:tplc="3D3A3CD4">
      <w:start w:val="1"/>
      <w:numFmt w:val="bullet"/>
      <w:lvlText w:val=""/>
      <w:lvlJc w:val="left"/>
      <w:pPr>
        <w:ind w:left="1440" w:hanging="360"/>
      </w:pPr>
      <w:rPr>
        <w:rFonts w:ascii="Wingdings" w:hAnsi="Wingdings" w:hint="default"/>
      </w:rPr>
    </w:lvl>
    <w:lvl w:ilvl="2" w:tplc="EBE43C50" w:tentative="1">
      <w:start w:val="1"/>
      <w:numFmt w:val="lowerRoman"/>
      <w:lvlText w:val="%3."/>
      <w:lvlJc w:val="right"/>
      <w:pPr>
        <w:ind w:left="2160" w:hanging="180"/>
      </w:pPr>
    </w:lvl>
    <w:lvl w:ilvl="3" w:tplc="168C7344" w:tentative="1">
      <w:start w:val="1"/>
      <w:numFmt w:val="decimal"/>
      <w:lvlText w:val="%4."/>
      <w:lvlJc w:val="left"/>
      <w:pPr>
        <w:ind w:left="2880" w:hanging="360"/>
      </w:pPr>
    </w:lvl>
    <w:lvl w:ilvl="4" w:tplc="61603216" w:tentative="1">
      <w:start w:val="1"/>
      <w:numFmt w:val="lowerLetter"/>
      <w:lvlText w:val="%5."/>
      <w:lvlJc w:val="left"/>
      <w:pPr>
        <w:ind w:left="3600" w:hanging="360"/>
      </w:pPr>
    </w:lvl>
    <w:lvl w:ilvl="5" w:tplc="D21E570A" w:tentative="1">
      <w:start w:val="1"/>
      <w:numFmt w:val="lowerRoman"/>
      <w:lvlText w:val="%6."/>
      <w:lvlJc w:val="right"/>
      <w:pPr>
        <w:ind w:left="4320" w:hanging="180"/>
      </w:pPr>
    </w:lvl>
    <w:lvl w:ilvl="6" w:tplc="ADCCE67C" w:tentative="1">
      <w:start w:val="1"/>
      <w:numFmt w:val="decimal"/>
      <w:lvlText w:val="%7."/>
      <w:lvlJc w:val="left"/>
      <w:pPr>
        <w:ind w:left="5040" w:hanging="360"/>
      </w:pPr>
    </w:lvl>
    <w:lvl w:ilvl="7" w:tplc="DF42958E" w:tentative="1">
      <w:start w:val="1"/>
      <w:numFmt w:val="lowerLetter"/>
      <w:lvlText w:val="%8."/>
      <w:lvlJc w:val="left"/>
      <w:pPr>
        <w:ind w:left="5760" w:hanging="360"/>
      </w:pPr>
    </w:lvl>
    <w:lvl w:ilvl="8" w:tplc="E8E4120A" w:tentative="1">
      <w:start w:val="1"/>
      <w:numFmt w:val="lowerRoman"/>
      <w:lvlText w:val="%9."/>
      <w:lvlJc w:val="right"/>
      <w:pPr>
        <w:ind w:left="6480" w:hanging="180"/>
      </w:pPr>
    </w:lvl>
  </w:abstractNum>
  <w:abstractNum w:abstractNumId="4">
    <w:nsid w:val="0D0C3A08"/>
    <w:multiLevelType w:val="hybridMultilevel"/>
    <w:tmpl w:val="117AF3AC"/>
    <w:lvl w:ilvl="0" w:tplc="C6FEA31C">
      <w:start w:val="1"/>
      <w:numFmt w:val="decimal"/>
      <w:lvlText w:val="%1-"/>
      <w:lvlJc w:val="left"/>
      <w:pPr>
        <w:ind w:left="720" w:hanging="360"/>
      </w:pPr>
      <w:rPr>
        <w:rFonts w:hint="default"/>
      </w:rPr>
    </w:lvl>
    <w:lvl w:ilvl="1" w:tplc="ED4AB7B0" w:tentative="1">
      <w:start w:val="1"/>
      <w:numFmt w:val="lowerLetter"/>
      <w:lvlText w:val="%2."/>
      <w:lvlJc w:val="left"/>
      <w:pPr>
        <w:ind w:left="1440" w:hanging="360"/>
      </w:pPr>
    </w:lvl>
    <w:lvl w:ilvl="2" w:tplc="663EB404" w:tentative="1">
      <w:start w:val="1"/>
      <w:numFmt w:val="lowerRoman"/>
      <w:lvlText w:val="%3."/>
      <w:lvlJc w:val="right"/>
      <w:pPr>
        <w:ind w:left="2160" w:hanging="180"/>
      </w:pPr>
    </w:lvl>
    <w:lvl w:ilvl="3" w:tplc="723601BA" w:tentative="1">
      <w:start w:val="1"/>
      <w:numFmt w:val="decimal"/>
      <w:lvlText w:val="%4."/>
      <w:lvlJc w:val="left"/>
      <w:pPr>
        <w:ind w:left="2880" w:hanging="360"/>
      </w:pPr>
    </w:lvl>
    <w:lvl w:ilvl="4" w:tplc="BCBC3234" w:tentative="1">
      <w:start w:val="1"/>
      <w:numFmt w:val="lowerLetter"/>
      <w:lvlText w:val="%5."/>
      <w:lvlJc w:val="left"/>
      <w:pPr>
        <w:ind w:left="3600" w:hanging="360"/>
      </w:pPr>
    </w:lvl>
    <w:lvl w:ilvl="5" w:tplc="4E741224" w:tentative="1">
      <w:start w:val="1"/>
      <w:numFmt w:val="lowerRoman"/>
      <w:lvlText w:val="%6."/>
      <w:lvlJc w:val="right"/>
      <w:pPr>
        <w:ind w:left="4320" w:hanging="180"/>
      </w:pPr>
    </w:lvl>
    <w:lvl w:ilvl="6" w:tplc="42E840C2" w:tentative="1">
      <w:start w:val="1"/>
      <w:numFmt w:val="decimal"/>
      <w:lvlText w:val="%7."/>
      <w:lvlJc w:val="left"/>
      <w:pPr>
        <w:ind w:left="5040" w:hanging="360"/>
      </w:pPr>
    </w:lvl>
    <w:lvl w:ilvl="7" w:tplc="DD8A8342" w:tentative="1">
      <w:start w:val="1"/>
      <w:numFmt w:val="lowerLetter"/>
      <w:lvlText w:val="%8."/>
      <w:lvlJc w:val="left"/>
      <w:pPr>
        <w:ind w:left="5760" w:hanging="360"/>
      </w:pPr>
    </w:lvl>
    <w:lvl w:ilvl="8" w:tplc="F28EEA8A" w:tentative="1">
      <w:start w:val="1"/>
      <w:numFmt w:val="lowerRoman"/>
      <w:lvlText w:val="%9."/>
      <w:lvlJc w:val="right"/>
      <w:pPr>
        <w:ind w:left="6480" w:hanging="180"/>
      </w:pPr>
    </w:lvl>
  </w:abstractNum>
  <w:abstractNum w:abstractNumId="5">
    <w:nsid w:val="1BBD5CCD"/>
    <w:multiLevelType w:val="hybridMultilevel"/>
    <w:tmpl w:val="824E485E"/>
    <w:lvl w:ilvl="0" w:tplc="E020DDF8">
      <w:start w:val="1"/>
      <w:numFmt w:val="decimal"/>
      <w:lvlText w:val="%1)"/>
      <w:lvlJc w:val="left"/>
      <w:pPr>
        <w:ind w:left="720" w:hanging="360"/>
      </w:pPr>
    </w:lvl>
    <w:lvl w:ilvl="1" w:tplc="16A29976">
      <w:start w:val="1"/>
      <w:numFmt w:val="bullet"/>
      <w:lvlText w:val=""/>
      <w:lvlJc w:val="left"/>
      <w:pPr>
        <w:ind w:left="1440" w:hanging="360"/>
      </w:pPr>
      <w:rPr>
        <w:rFonts w:ascii="Wingdings" w:hAnsi="Wingdings" w:hint="default"/>
      </w:rPr>
    </w:lvl>
    <w:lvl w:ilvl="2" w:tplc="E8000E02" w:tentative="1">
      <w:start w:val="1"/>
      <w:numFmt w:val="lowerRoman"/>
      <w:lvlText w:val="%3."/>
      <w:lvlJc w:val="right"/>
      <w:pPr>
        <w:ind w:left="2160" w:hanging="180"/>
      </w:pPr>
    </w:lvl>
    <w:lvl w:ilvl="3" w:tplc="D8B09B68" w:tentative="1">
      <w:start w:val="1"/>
      <w:numFmt w:val="decimal"/>
      <w:lvlText w:val="%4."/>
      <w:lvlJc w:val="left"/>
      <w:pPr>
        <w:ind w:left="2880" w:hanging="360"/>
      </w:pPr>
    </w:lvl>
    <w:lvl w:ilvl="4" w:tplc="72DE4E26" w:tentative="1">
      <w:start w:val="1"/>
      <w:numFmt w:val="lowerLetter"/>
      <w:lvlText w:val="%5."/>
      <w:lvlJc w:val="left"/>
      <w:pPr>
        <w:ind w:left="3600" w:hanging="360"/>
      </w:pPr>
    </w:lvl>
    <w:lvl w:ilvl="5" w:tplc="6A98E552" w:tentative="1">
      <w:start w:val="1"/>
      <w:numFmt w:val="lowerRoman"/>
      <w:lvlText w:val="%6."/>
      <w:lvlJc w:val="right"/>
      <w:pPr>
        <w:ind w:left="4320" w:hanging="180"/>
      </w:pPr>
    </w:lvl>
    <w:lvl w:ilvl="6" w:tplc="40BCD4CE" w:tentative="1">
      <w:start w:val="1"/>
      <w:numFmt w:val="decimal"/>
      <w:lvlText w:val="%7."/>
      <w:lvlJc w:val="left"/>
      <w:pPr>
        <w:ind w:left="5040" w:hanging="360"/>
      </w:pPr>
    </w:lvl>
    <w:lvl w:ilvl="7" w:tplc="886E8BD2" w:tentative="1">
      <w:start w:val="1"/>
      <w:numFmt w:val="lowerLetter"/>
      <w:lvlText w:val="%8."/>
      <w:lvlJc w:val="left"/>
      <w:pPr>
        <w:ind w:left="5760" w:hanging="360"/>
      </w:pPr>
    </w:lvl>
    <w:lvl w:ilvl="8" w:tplc="A06E232A" w:tentative="1">
      <w:start w:val="1"/>
      <w:numFmt w:val="lowerRoman"/>
      <w:lvlText w:val="%9."/>
      <w:lvlJc w:val="right"/>
      <w:pPr>
        <w:ind w:left="6480" w:hanging="180"/>
      </w:pPr>
    </w:lvl>
  </w:abstractNum>
  <w:abstractNum w:abstractNumId="6">
    <w:nsid w:val="1DFA3716"/>
    <w:multiLevelType w:val="hybridMultilevel"/>
    <w:tmpl w:val="784C6DCA"/>
    <w:lvl w:ilvl="0" w:tplc="A43E5484">
      <w:start w:val="1"/>
      <w:numFmt w:val="decimal"/>
      <w:lvlText w:val="%1-"/>
      <w:lvlJc w:val="left"/>
      <w:pPr>
        <w:ind w:left="720" w:hanging="360"/>
      </w:pPr>
      <w:rPr>
        <w:rFonts w:asciiTheme="minorBidi" w:eastAsiaTheme="minorHAnsi" w:hAnsiTheme="minorBidi" w:cstheme="minorBidi"/>
      </w:rPr>
    </w:lvl>
    <w:lvl w:ilvl="1" w:tplc="C8DAEF5C" w:tentative="1">
      <w:start w:val="1"/>
      <w:numFmt w:val="lowerLetter"/>
      <w:lvlText w:val="%2."/>
      <w:lvlJc w:val="left"/>
      <w:pPr>
        <w:ind w:left="1440" w:hanging="360"/>
      </w:pPr>
    </w:lvl>
    <w:lvl w:ilvl="2" w:tplc="4378CF36" w:tentative="1">
      <w:start w:val="1"/>
      <w:numFmt w:val="lowerRoman"/>
      <w:lvlText w:val="%3."/>
      <w:lvlJc w:val="right"/>
      <w:pPr>
        <w:ind w:left="2160" w:hanging="180"/>
      </w:pPr>
    </w:lvl>
    <w:lvl w:ilvl="3" w:tplc="DBCA8F3A" w:tentative="1">
      <w:start w:val="1"/>
      <w:numFmt w:val="decimal"/>
      <w:lvlText w:val="%4."/>
      <w:lvlJc w:val="left"/>
      <w:pPr>
        <w:ind w:left="2880" w:hanging="360"/>
      </w:pPr>
    </w:lvl>
    <w:lvl w:ilvl="4" w:tplc="3FC4AD56" w:tentative="1">
      <w:start w:val="1"/>
      <w:numFmt w:val="lowerLetter"/>
      <w:lvlText w:val="%5."/>
      <w:lvlJc w:val="left"/>
      <w:pPr>
        <w:ind w:left="3600" w:hanging="360"/>
      </w:pPr>
    </w:lvl>
    <w:lvl w:ilvl="5" w:tplc="31C4AF64" w:tentative="1">
      <w:start w:val="1"/>
      <w:numFmt w:val="lowerRoman"/>
      <w:lvlText w:val="%6."/>
      <w:lvlJc w:val="right"/>
      <w:pPr>
        <w:ind w:left="4320" w:hanging="180"/>
      </w:pPr>
    </w:lvl>
    <w:lvl w:ilvl="6" w:tplc="253A8CE0" w:tentative="1">
      <w:start w:val="1"/>
      <w:numFmt w:val="decimal"/>
      <w:lvlText w:val="%7."/>
      <w:lvlJc w:val="left"/>
      <w:pPr>
        <w:ind w:left="5040" w:hanging="360"/>
      </w:pPr>
    </w:lvl>
    <w:lvl w:ilvl="7" w:tplc="F1ECA014" w:tentative="1">
      <w:start w:val="1"/>
      <w:numFmt w:val="lowerLetter"/>
      <w:lvlText w:val="%8."/>
      <w:lvlJc w:val="left"/>
      <w:pPr>
        <w:ind w:left="5760" w:hanging="360"/>
      </w:pPr>
    </w:lvl>
    <w:lvl w:ilvl="8" w:tplc="CADA816C" w:tentative="1">
      <w:start w:val="1"/>
      <w:numFmt w:val="lowerRoman"/>
      <w:lvlText w:val="%9."/>
      <w:lvlJc w:val="right"/>
      <w:pPr>
        <w:ind w:left="6480" w:hanging="180"/>
      </w:pPr>
    </w:lvl>
  </w:abstractNum>
  <w:abstractNum w:abstractNumId="7">
    <w:nsid w:val="2BEC44B0"/>
    <w:multiLevelType w:val="hybridMultilevel"/>
    <w:tmpl w:val="A320AB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C7B2685"/>
    <w:multiLevelType w:val="hybridMultilevel"/>
    <w:tmpl w:val="F9249252"/>
    <w:lvl w:ilvl="0" w:tplc="29309254">
      <w:start w:val="1"/>
      <w:numFmt w:val="decimal"/>
      <w:lvlText w:val="%1-"/>
      <w:lvlJc w:val="left"/>
      <w:pPr>
        <w:ind w:left="720" w:hanging="360"/>
      </w:pPr>
      <w:rPr>
        <w:rFonts w:hint="default"/>
      </w:rPr>
    </w:lvl>
    <w:lvl w:ilvl="1" w:tplc="3572A2A4" w:tentative="1">
      <w:start w:val="1"/>
      <w:numFmt w:val="lowerLetter"/>
      <w:lvlText w:val="%2."/>
      <w:lvlJc w:val="left"/>
      <w:pPr>
        <w:ind w:left="1440" w:hanging="360"/>
      </w:pPr>
    </w:lvl>
    <w:lvl w:ilvl="2" w:tplc="02583A1E" w:tentative="1">
      <w:start w:val="1"/>
      <w:numFmt w:val="lowerRoman"/>
      <w:lvlText w:val="%3."/>
      <w:lvlJc w:val="right"/>
      <w:pPr>
        <w:ind w:left="2160" w:hanging="180"/>
      </w:pPr>
    </w:lvl>
    <w:lvl w:ilvl="3" w:tplc="1E948730" w:tentative="1">
      <w:start w:val="1"/>
      <w:numFmt w:val="decimal"/>
      <w:lvlText w:val="%4."/>
      <w:lvlJc w:val="left"/>
      <w:pPr>
        <w:ind w:left="2880" w:hanging="360"/>
      </w:pPr>
    </w:lvl>
    <w:lvl w:ilvl="4" w:tplc="A22A9FC4" w:tentative="1">
      <w:start w:val="1"/>
      <w:numFmt w:val="lowerLetter"/>
      <w:lvlText w:val="%5."/>
      <w:lvlJc w:val="left"/>
      <w:pPr>
        <w:ind w:left="3600" w:hanging="360"/>
      </w:pPr>
    </w:lvl>
    <w:lvl w:ilvl="5" w:tplc="A2A66382" w:tentative="1">
      <w:start w:val="1"/>
      <w:numFmt w:val="lowerRoman"/>
      <w:lvlText w:val="%6."/>
      <w:lvlJc w:val="right"/>
      <w:pPr>
        <w:ind w:left="4320" w:hanging="180"/>
      </w:pPr>
    </w:lvl>
    <w:lvl w:ilvl="6" w:tplc="F15E2668" w:tentative="1">
      <w:start w:val="1"/>
      <w:numFmt w:val="decimal"/>
      <w:lvlText w:val="%7."/>
      <w:lvlJc w:val="left"/>
      <w:pPr>
        <w:ind w:left="5040" w:hanging="360"/>
      </w:pPr>
    </w:lvl>
    <w:lvl w:ilvl="7" w:tplc="D704454C" w:tentative="1">
      <w:start w:val="1"/>
      <w:numFmt w:val="lowerLetter"/>
      <w:lvlText w:val="%8."/>
      <w:lvlJc w:val="left"/>
      <w:pPr>
        <w:ind w:left="5760" w:hanging="360"/>
      </w:pPr>
    </w:lvl>
    <w:lvl w:ilvl="8" w:tplc="DD327D28" w:tentative="1">
      <w:start w:val="1"/>
      <w:numFmt w:val="lowerRoman"/>
      <w:lvlText w:val="%9."/>
      <w:lvlJc w:val="right"/>
      <w:pPr>
        <w:ind w:left="6480" w:hanging="180"/>
      </w:pPr>
    </w:lvl>
  </w:abstractNum>
  <w:abstractNum w:abstractNumId="9">
    <w:nsid w:val="2DAD0F8D"/>
    <w:multiLevelType w:val="hybridMultilevel"/>
    <w:tmpl w:val="49BC14FE"/>
    <w:lvl w:ilvl="0" w:tplc="DEECBBFE">
      <w:start w:val="5"/>
      <w:numFmt w:val="decimal"/>
      <w:lvlText w:val="%1-"/>
      <w:lvlJc w:val="left"/>
      <w:pPr>
        <w:ind w:left="720" w:hanging="360"/>
      </w:pPr>
      <w:rPr>
        <w:rFonts w:hint="default"/>
      </w:rPr>
    </w:lvl>
    <w:lvl w:ilvl="1" w:tplc="7EAAC32A" w:tentative="1">
      <w:start w:val="1"/>
      <w:numFmt w:val="lowerLetter"/>
      <w:lvlText w:val="%2."/>
      <w:lvlJc w:val="left"/>
      <w:pPr>
        <w:ind w:left="1440" w:hanging="360"/>
      </w:pPr>
    </w:lvl>
    <w:lvl w:ilvl="2" w:tplc="BCFCA594" w:tentative="1">
      <w:start w:val="1"/>
      <w:numFmt w:val="lowerRoman"/>
      <w:lvlText w:val="%3."/>
      <w:lvlJc w:val="right"/>
      <w:pPr>
        <w:ind w:left="2160" w:hanging="180"/>
      </w:pPr>
    </w:lvl>
    <w:lvl w:ilvl="3" w:tplc="BF20B930" w:tentative="1">
      <w:start w:val="1"/>
      <w:numFmt w:val="decimal"/>
      <w:lvlText w:val="%4."/>
      <w:lvlJc w:val="left"/>
      <w:pPr>
        <w:ind w:left="2880" w:hanging="360"/>
      </w:pPr>
    </w:lvl>
    <w:lvl w:ilvl="4" w:tplc="E57431BE" w:tentative="1">
      <w:start w:val="1"/>
      <w:numFmt w:val="lowerLetter"/>
      <w:lvlText w:val="%5."/>
      <w:lvlJc w:val="left"/>
      <w:pPr>
        <w:ind w:left="3600" w:hanging="360"/>
      </w:pPr>
    </w:lvl>
    <w:lvl w:ilvl="5" w:tplc="B95210C8" w:tentative="1">
      <w:start w:val="1"/>
      <w:numFmt w:val="lowerRoman"/>
      <w:lvlText w:val="%6."/>
      <w:lvlJc w:val="right"/>
      <w:pPr>
        <w:ind w:left="4320" w:hanging="180"/>
      </w:pPr>
    </w:lvl>
    <w:lvl w:ilvl="6" w:tplc="3E00EE98" w:tentative="1">
      <w:start w:val="1"/>
      <w:numFmt w:val="decimal"/>
      <w:lvlText w:val="%7."/>
      <w:lvlJc w:val="left"/>
      <w:pPr>
        <w:ind w:left="5040" w:hanging="360"/>
      </w:pPr>
    </w:lvl>
    <w:lvl w:ilvl="7" w:tplc="D6A652A6" w:tentative="1">
      <w:start w:val="1"/>
      <w:numFmt w:val="lowerLetter"/>
      <w:lvlText w:val="%8."/>
      <w:lvlJc w:val="left"/>
      <w:pPr>
        <w:ind w:left="5760" w:hanging="360"/>
      </w:pPr>
    </w:lvl>
    <w:lvl w:ilvl="8" w:tplc="2ABA8464" w:tentative="1">
      <w:start w:val="1"/>
      <w:numFmt w:val="lowerRoman"/>
      <w:lvlText w:val="%9."/>
      <w:lvlJc w:val="right"/>
      <w:pPr>
        <w:ind w:left="6480" w:hanging="180"/>
      </w:pPr>
    </w:lvl>
  </w:abstractNum>
  <w:abstractNum w:abstractNumId="10">
    <w:nsid w:val="343A41A1"/>
    <w:multiLevelType w:val="hybridMultilevel"/>
    <w:tmpl w:val="48426B04"/>
    <w:lvl w:ilvl="0" w:tplc="584818AA">
      <w:start w:val="4"/>
      <w:numFmt w:val="bullet"/>
      <w:lvlText w:val="-"/>
      <w:lvlJc w:val="left"/>
      <w:pPr>
        <w:ind w:left="720" w:hanging="360"/>
      </w:pPr>
      <w:rPr>
        <w:rFonts w:ascii="Arial" w:eastAsiaTheme="minorHAnsi" w:hAnsi="Arial" w:cs="Arial" w:hint="default"/>
      </w:rPr>
    </w:lvl>
    <w:lvl w:ilvl="1" w:tplc="9E00162E" w:tentative="1">
      <w:start w:val="1"/>
      <w:numFmt w:val="bullet"/>
      <w:lvlText w:val="o"/>
      <w:lvlJc w:val="left"/>
      <w:pPr>
        <w:ind w:left="1440" w:hanging="360"/>
      </w:pPr>
      <w:rPr>
        <w:rFonts w:ascii="Courier New" w:hAnsi="Courier New" w:cs="Courier New" w:hint="default"/>
      </w:rPr>
    </w:lvl>
    <w:lvl w:ilvl="2" w:tplc="3CCCCFB4" w:tentative="1">
      <w:start w:val="1"/>
      <w:numFmt w:val="bullet"/>
      <w:lvlText w:val=""/>
      <w:lvlJc w:val="left"/>
      <w:pPr>
        <w:ind w:left="2160" w:hanging="360"/>
      </w:pPr>
      <w:rPr>
        <w:rFonts w:ascii="Wingdings" w:hAnsi="Wingdings" w:hint="default"/>
      </w:rPr>
    </w:lvl>
    <w:lvl w:ilvl="3" w:tplc="A2F04740" w:tentative="1">
      <w:start w:val="1"/>
      <w:numFmt w:val="bullet"/>
      <w:lvlText w:val=""/>
      <w:lvlJc w:val="left"/>
      <w:pPr>
        <w:ind w:left="2880" w:hanging="360"/>
      </w:pPr>
      <w:rPr>
        <w:rFonts w:ascii="Symbol" w:hAnsi="Symbol" w:hint="default"/>
      </w:rPr>
    </w:lvl>
    <w:lvl w:ilvl="4" w:tplc="CD2CBFFA" w:tentative="1">
      <w:start w:val="1"/>
      <w:numFmt w:val="bullet"/>
      <w:lvlText w:val="o"/>
      <w:lvlJc w:val="left"/>
      <w:pPr>
        <w:ind w:left="3600" w:hanging="360"/>
      </w:pPr>
      <w:rPr>
        <w:rFonts w:ascii="Courier New" w:hAnsi="Courier New" w:cs="Courier New" w:hint="default"/>
      </w:rPr>
    </w:lvl>
    <w:lvl w:ilvl="5" w:tplc="7E502F18" w:tentative="1">
      <w:start w:val="1"/>
      <w:numFmt w:val="bullet"/>
      <w:lvlText w:val=""/>
      <w:lvlJc w:val="left"/>
      <w:pPr>
        <w:ind w:left="4320" w:hanging="360"/>
      </w:pPr>
      <w:rPr>
        <w:rFonts w:ascii="Wingdings" w:hAnsi="Wingdings" w:hint="default"/>
      </w:rPr>
    </w:lvl>
    <w:lvl w:ilvl="6" w:tplc="21F076FC" w:tentative="1">
      <w:start w:val="1"/>
      <w:numFmt w:val="bullet"/>
      <w:lvlText w:val=""/>
      <w:lvlJc w:val="left"/>
      <w:pPr>
        <w:ind w:left="5040" w:hanging="360"/>
      </w:pPr>
      <w:rPr>
        <w:rFonts w:ascii="Symbol" w:hAnsi="Symbol" w:hint="default"/>
      </w:rPr>
    </w:lvl>
    <w:lvl w:ilvl="7" w:tplc="2F68121A" w:tentative="1">
      <w:start w:val="1"/>
      <w:numFmt w:val="bullet"/>
      <w:lvlText w:val="o"/>
      <w:lvlJc w:val="left"/>
      <w:pPr>
        <w:ind w:left="5760" w:hanging="360"/>
      </w:pPr>
      <w:rPr>
        <w:rFonts w:ascii="Courier New" w:hAnsi="Courier New" w:cs="Courier New" w:hint="default"/>
      </w:rPr>
    </w:lvl>
    <w:lvl w:ilvl="8" w:tplc="D3F892AE" w:tentative="1">
      <w:start w:val="1"/>
      <w:numFmt w:val="bullet"/>
      <w:lvlText w:val=""/>
      <w:lvlJc w:val="left"/>
      <w:pPr>
        <w:ind w:left="6480" w:hanging="360"/>
      </w:pPr>
      <w:rPr>
        <w:rFonts w:ascii="Wingdings" w:hAnsi="Wingdings" w:hint="default"/>
      </w:rPr>
    </w:lvl>
  </w:abstractNum>
  <w:abstractNum w:abstractNumId="11">
    <w:nsid w:val="38846C34"/>
    <w:multiLevelType w:val="hybridMultilevel"/>
    <w:tmpl w:val="0B504D6E"/>
    <w:lvl w:ilvl="0" w:tplc="8DF2F5EA">
      <w:start w:val="1"/>
      <w:numFmt w:val="lowerLetter"/>
      <w:lvlText w:val="%1)"/>
      <w:lvlJc w:val="left"/>
      <w:pPr>
        <w:ind w:left="720" w:hanging="360"/>
      </w:pPr>
    </w:lvl>
    <w:lvl w:ilvl="1" w:tplc="D4869262">
      <w:start w:val="1"/>
      <w:numFmt w:val="bullet"/>
      <w:lvlText w:val=""/>
      <w:lvlJc w:val="left"/>
      <w:pPr>
        <w:ind w:left="1440" w:hanging="360"/>
      </w:pPr>
      <w:rPr>
        <w:rFonts w:ascii="Wingdings" w:hAnsi="Wingdings" w:hint="default"/>
      </w:rPr>
    </w:lvl>
    <w:lvl w:ilvl="2" w:tplc="3E9C46FE" w:tentative="1">
      <w:start w:val="1"/>
      <w:numFmt w:val="lowerRoman"/>
      <w:lvlText w:val="%3."/>
      <w:lvlJc w:val="right"/>
      <w:pPr>
        <w:ind w:left="2160" w:hanging="180"/>
      </w:pPr>
    </w:lvl>
    <w:lvl w:ilvl="3" w:tplc="D99CB838" w:tentative="1">
      <w:start w:val="1"/>
      <w:numFmt w:val="decimal"/>
      <w:lvlText w:val="%4."/>
      <w:lvlJc w:val="left"/>
      <w:pPr>
        <w:ind w:left="2880" w:hanging="360"/>
      </w:pPr>
    </w:lvl>
    <w:lvl w:ilvl="4" w:tplc="B95CA034" w:tentative="1">
      <w:start w:val="1"/>
      <w:numFmt w:val="lowerLetter"/>
      <w:lvlText w:val="%5."/>
      <w:lvlJc w:val="left"/>
      <w:pPr>
        <w:ind w:left="3600" w:hanging="360"/>
      </w:pPr>
    </w:lvl>
    <w:lvl w:ilvl="5" w:tplc="73EC92BE" w:tentative="1">
      <w:start w:val="1"/>
      <w:numFmt w:val="lowerRoman"/>
      <w:lvlText w:val="%6."/>
      <w:lvlJc w:val="right"/>
      <w:pPr>
        <w:ind w:left="4320" w:hanging="180"/>
      </w:pPr>
    </w:lvl>
    <w:lvl w:ilvl="6" w:tplc="25AA733A" w:tentative="1">
      <w:start w:val="1"/>
      <w:numFmt w:val="decimal"/>
      <w:lvlText w:val="%7."/>
      <w:lvlJc w:val="left"/>
      <w:pPr>
        <w:ind w:left="5040" w:hanging="360"/>
      </w:pPr>
    </w:lvl>
    <w:lvl w:ilvl="7" w:tplc="E83E1654" w:tentative="1">
      <w:start w:val="1"/>
      <w:numFmt w:val="lowerLetter"/>
      <w:lvlText w:val="%8."/>
      <w:lvlJc w:val="left"/>
      <w:pPr>
        <w:ind w:left="5760" w:hanging="360"/>
      </w:pPr>
    </w:lvl>
    <w:lvl w:ilvl="8" w:tplc="F42A9C98" w:tentative="1">
      <w:start w:val="1"/>
      <w:numFmt w:val="lowerRoman"/>
      <w:lvlText w:val="%9."/>
      <w:lvlJc w:val="right"/>
      <w:pPr>
        <w:ind w:left="6480" w:hanging="180"/>
      </w:pPr>
    </w:lvl>
  </w:abstractNum>
  <w:abstractNum w:abstractNumId="12">
    <w:nsid w:val="38EE40D6"/>
    <w:multiLevelType w:val="hybridMultilevel"/>
    <w:tmpl w:val="0638FCD8"/>
    <w:lvl w:ilvl="0" w:tplc="DB6EA30A">
      <w:start w:val="1"/>
      <w:numFmt w:val="decimal"/>
      <w:lvlText w:val="%1)"/>
      <w:lvlJc w:val="left"/>
      <w:pPr>
        <w:ind w:left="720" w:hanging="360"/>
      </w:pPr>
    </w:lvl>
    <w:lvl w:ilvl="1" w:tplc="5F24546A" w:tentative="1">
      <w:start w:val="1"/>
      <w:numFmt w:val="lowerLetter"/>
      <w:lvlText w:val="%2."/>
      <w:lvlJc w:val="left"/>
      <w:pPr>
        <w:ind w:left="1440" w:hanging="360"/>
      </w:pPr>
    </w:lvl>
    <w:lvl w:ilvl="2" w:tplc="BCA0D510" w:tentative="1">
      <w:start w:val="1"/>
      <w:numFmt w:val="lowerRoman"/>
      <w:lvlText w:val="%3."/>
      <w:lvlJc w:val="right"/>
      <w:pPr>
        <w:ind w:left="2160" w:hanging="180"/>
      </w:pPr>
    </w:lvl>
    <w:lvl w:ilvl="3" w:tplc="820EE53E" w:tentative="1">
      <w:start w:val="1"/>
      <w:numFmt w:val="decimal"/>
      <w:lvlText w:val="%4."/>
      <w:lvlJc w:val="left"/>
      <w:pPr>
        <w:ind w:left="2880" w:hanging="360"/>
      </w:pPr>
    </w:lvl>
    <w:lvl w:ilvl="4" w:tplc="084CC59E" w:tentative="1">
      <w:start w:val="1"/>
      <w:numFmt w:val="lowerLetter"/>
      <w:lvlText w:val="%5."/>
      <w:lvlJc w:val="left"/>
      <w:pPr>
        <w:ind w:left="3600" w:hanging="360"/>
      </w:pPr>
    </w:lvl>
    <w:lvl w:ilvl="5" w:tplc="F29281AC" w:tentative="1">
      <w:start w:val="1"/>
      <w:numFmt w:val="lowerRoman"/>
      <w:lvlText w:val="%6."/>
      <w:lvlJc w:val="right"/>
      <w:pPr>
        <w:ind w:left="4320" w:hanging="180"/>
      </w:pPr>
    </w:lvl>
    <w:lvl w:ilvl="6" w:tplc="366AD920" w:tentative="1">
      <w:start w:val="1"/>
      <w:numFmt w:val="decimal"/>
      <w:lvlText w:val="%7."/>
      <w:lvlJc w:val="left"/>
      <w:pPr>
        <w:ind w:left="5040" w:hanging="360"/>
      </w:pPr>
    </w:lvl>
    <w:lvl w:ilvl="7" w:tplc="280CADD6" w:tentative="1">
      <w:start w:val="1"/>
      <w:numFmt w:val="lowerLetter"/>
      <w:lvlText w:val="%8."/>
      <w:lvlJc w:val="left"/>
      <w:pPr>
        <w:ind w:left="5760" w:hanging="360"/>
      </w:pPr>
    </w:lvl>
    <w:lvl w:ilvl="8" w:tplc="7B8647BC" w:tentative="1">
      <w:start w:val="1"/>
      <w:numFmt w:val="lowerRoman"/>
      <w:lvlText w:val="%9."/>
      <w:lvlJc w:val="right"/>
      <w:pPr>
        <w:ind w:left="6480" w:hanging="180"/>
      </w:pPr>
    </w:lvl>
  </w:abstractNum>
  <w:abstractNum w:abstractNumId="13">
    <w:nsid w:val="3ACC5E7D"/>
    <w:multiLevelType w:val="hybridMultilevel"/>
    <w:tmpl w:val="386AC164"/>
    <w:lvl w:ilvl="0" w:tplc="69044A1A">
      <w:start w:val="1"/>
      <w:numFmt w:val="decimal"/>
      <w:lvlText w:val="%1."/>
      <w:lvlJc w:val="left"/>
      <w:pPr>
        <w:ind w:left="720" w:hanging="360"/>
      </w:pPr>
    </w:lvl>
    <w:lvl w:ilvl="1" w:tplc="5D96B73E">
      <w:start w:val="1"/>
      <w:numFmt w:val="bullet"/>
      <w:lvlText w:val=""/>
      <w:lvlJc w:val="left"/>
      <w:pPr>
        <w:ind w:left="1440" w:hanging="360"/>
      </w:pPr>
      <w:rPr>
        <w:rFonts w:ascii="Wingdings" w:hAnsi="Wingdings" w:hint="default"/>
      </w:rPr>
    </w:lvl>
    <w:lvl w:ilvl="2" w:tplc="56F6763A" w:tentative="1">
      <w:start w:val="1"/>
      <w:numFmt w:val="lowerRoman"/>
      <w:lvlText w:val="%3."/>
      <w:lvlJc w:val="right"/>
      <w:pPr>
        <w:ind w:left="2160" w:hanging="180"/>
      </w:pPr>
    </w:lvl>
    <w:lvl w:ilvl="3" w:tplc="EF565464" w:tentative="1">
      <w:start w:val="1"/>
      <w:numFmt w:val="decimal"/>
      <w:lvlText w:val="%4."/>
      <w:lvlJc w:val="left"/>
      <w:pPr>
        <w:ind w:left="2880" w:hanging="360"/>
      </w:pPr>
    </w:lvl>
    <w:lvl w:ilvl="4" w:tplc="12862068" w:tentative="1">
      <w:start w:val="1"/>
      <w:numFmt w:val="lowerLetter"/>
      <w:lvlText w:val="%5."/>
      <w:lvlJc w:val="left"/>
      <w:pPr>
        <w:ind w:left="3600" w:hanging="360"/>
      </w:pPr>
    </w:lvl>
    <w:lvl w:ilvl="5" w:tplc="9C1EC246" w:tentative="1">
      <w:start w:val="1"/>
      <w:numFmt w:val="lowerRoman"/>
      <w:lvlText w:val="%6."/>
      <w:lvlJc w:val="right"/>
      <w:pPr>
        <w:ind w:left="4320" w:hanging="180"/>
      </w:pPr>
    </w:lvl>
    <w:lvl w:ilvl="6" w:tplc="AA88D10A" w:tentative="1">
      <w:start w:val="1"/>
      <w:numFmt w:val="decimal"/>
      <w:lvlText w:val="%7."/>
      <w:lvlJc w:val="left"/>
      <w:pPr>
        <w:ind w:left="5040" w:hanging="360"/>
      </w:pPr>
    </w:lvl>
    <w:lvl w:ilvl="7" w:tplc="028ACC96" w:tentative="1">
      <w:start w:val="1"/>
      <w:numFmt w:val="lowerLetter"/>
      <w:lvlText w:val="%8."/>
      <w:lvlJc w:val="left"/>
      <w:pPr>
        <w:ind w:left="5760" w:hanging="360"/>
      </w:pPr>
    </w:lvl>
    <w:lvl w:ilvl="8" w:tplc="4E34A316" w:tentative="1">
      <w:start w:val="1"/>
      <w:numFmt w:val="lowerRoman"/>
      <w:lvlText w:val="%9."/>
      <w:lvlJc w:val="right"/>
      <w:pPr>
        <w:ind w:left="6480" w:hanging="180"/>
      </w:pPr>
    </w:lvl>
  </w:abstractNum>
  <w:abstractNum w:abstractNumId="14">
    <w:nsid w:val="46BB40A6"/>
    <w:multiLevelType w:val="hybridMultilevel"/>
    <w:tmpl w:val="FE883DF0"/>
    <w:lvl w:ilvl="0" w:tplc="3CAA9BCA">
      <w:start w:val="1"/>
      <w:numFmt w:val="decimal"/>
      <w:lvlText w:val="%1."/>
      <w:lvlJc w:val="left"/>
      <w:pPr>
        <w:ind w:left="720" w:hanging="360"/>
      </w:pPr>
    </w:lvl>
    <w:lvl w:ilvl="1" w:tplc="1982E840" w:tentative="1">
      <w:start w:val="1"/>
      <w:numFmt w:val="lowerLetter"/>
      <w:lvlText w:val="%2."/>
      <w:lvlJc w:val="left"/>
      <w:pPr>
        <w:ind w:left="1440" w:hanging="360"/>
      </w:pPr>
    </w:lvl>
    <w:lvl w:ilvl="2" w:tplc="9E103CA8" w:tentative="1">
      <w:start w:val="1"/>
      <w:numFmt w:val="lowerRoman"/>
      <w:lvlText w:val="%3."/>
      <w:lvlJc w:val="right"/>
      <w:pPr>
        <w:ind w:left="2160" w:hanging="180"/>
      </w:pPr>
    </w:lvl>
    <w:lvl w:ilvl="3" w:tplc="8D1A8D54" w:tentative="1">
      <w:start w:val="1"/>
      <w:numFmt w:val="decimal"/>
      <w:lvlText w:val="%4."/>
      <w:lvlJc w:val="left"/>
      <w:pPr>
        <w:ind w:left="2880" w:hanging="360"/>
      </w:pPr>
    </w:lvl>
    <w:lvl w:ilvl="4" w:tplc="3A762814" w:tentative="1">
      <w:start w:val="1"/>
      <w:numFmt w:val="lowerLetter"/>
      <w:lvlText w:val="%5."/>
      <w:lvlJc w:val="left"/>
      <w:pPr>
        <w:ind w:left="3600" w:hanging="360"/>
      </w:pPr>
    </w:lvl>
    <w:lvl w:ilvl="5" w:tplc="D09A2C68" w:tentative="1">
      <w:start w:val="1"/>
      <w:numFmt w:val="lowerRoman"/>
      <w:lvlText w:val="%6."/>
      <w:lvlJc w:val="right"/>
      <w:pPr>
        <w:ind w:left="4320" w:hanging="180"/>
      </w:pPr>
    </w:lvl>
    <w:lvl w:ilvl="6" w:tplc="ED0EE1B2" w:tentative="1">
      <w:start w:val="1"/>
      <w:numFmt w:val="decimal"/>
      <w:lvlText w:val="%7."/>
      <w:lvlJc w:val="left"/>
      <w:pPr>
        <w:ind w:left="5040" w:hanging="360"/>
      </w:pPr>
    </w:lvl>
    <w:lvl w:ilvl="7" w:tplc="10700272" w:tentative="1">
      <w:start w:val="1"/>
      <w:numFmt w:val="lowerLetter"/>
      <w:lvlText w:val="%8."/>
      <w:lvlJc w:val="left"/>
      <w:pPr>
        <w:ind w:left="5760" w:hanging="360"/>
      </w:pPr>
    </w:lvl>
    <w:lvl w:ilvl="8" w:tplc="37200D48" w:tentative="1">
      <w:start w:val="1"/>
      <w:numFmt w:val="lowerRoman"/>
      <w:lvlText w:val="%9."/>
      <w:lvlJc w:val="right"/>
      <w:pPr>
        <w:ind w:left="6480" w:hanging="180"/>
      </w:pPr>
    </w:lvl>
  </w:abstractNum>
  <w:abstractNum w:abstractNumId="15">
    <w:nsid w:val="4CD831E7"/>
    <w:multiLevelType w:val="hybridMultilevel"/>
    <w:tmpl w:val="25D6CDEE"/>
    <w:lvl w:ilvl="0" w:tplc="3F924246">
      <w:start w:val="4"/>
      <w:numFmt w:val="bullet"/>
      <w:lvlText w:val="-"/>
      <w:lvlJc w:val="left"/>
      <w:pPr>
        <w:ind w:left="720" w:hanging="360"/>
      </w:pPr>
      <w:rPr>
        <w:rFonts w:ascii="Arial" w:eastAsiaTheme="minorHAnsi" w:hAnsi="Arial" w:cs="Arial" w:hint="default"/>
      </w:rPr>
    </w:lvl>
    <w:lvl w:ilvl="1" w:tplc="FAB2325C" w:tentative="1">
      <w:start w:val="1"/>
      <w:numFmt w:val="bullet"/>
      <w:lvlText w:val="o"/>
      <w:lvlJc w:val="left"/>
      <w:pPr>
        <w:ind w:left="1440" w:hanging="360"/>
      </w:pPr>
      <w:rPr>
        <w:rFonts w:ascii="Courier New" w:hAnsi="Courier New" w:cs="Courier New" w:hint="default"/>
      </w:rPr>
    </w:lvl>
    <w:lvl w:ilvl="2" w:tplc="805840F2" w:tentative="1">
      <w:start w:val="1"/>
      <w:numFmt w:val="bullet"/>
      <w:lvlText w:val=""/>
      <w:lvlJc w:val="left"/>
      <w:pPr>
        <w:ind w:left="2160" w:hanging="360"/>
      </w:pPr>
      <w:rPr>
        <w:rFonts w:ascii="Wingdings" w:hAnsi="Wingdings" w:hint="default"/>
      </w:rPr>
    </w:lvl>
    <w:lvl w:ilvl="3" w:tplc="0D12A8B0" w:tentative="1">
      <w:start w:val="1"/>
      <w:numFmt w:val="bullet"/>
      <w:lvlText w:val=""/>
      <w:lvlJc w:val="left"/>
      <w:pPr>
        <w:ind w:left="2880" w:hanging="360"/>
      </w:pPr>
      <w:rPr>
        <w:rFonts w:ascii="Symbol" w:hAnsi="Symbol" w:hint="default"/>
      </w:rPr>
    </w:lvl>
    <w:lvl w:ilvl="4" w:tplc="1C789AC0" w:tentative="1">
      <w:start w:val="1"/>
      <w:numFmt w:val="bullet"/>
      <w:lvlText w:val="o"/>
      <w:lvlJc w:val="left"/>
      <w:pPr>
        <w:ind w:left="3600" w:hanging="360"/>
      </w:pPr>
      <w:rPr>
        <w:rFonts w:ascii="Courier New" w:hAnsi="Courier New" w:cs="Courier New" w:hint="default"/>
      </w:rPr>
    </w:lvl>
    <w:lvl w:ilvl="5" w:tplc="5DA29806" w:tentative="1">
      <w:start w:val="1"/>
      <w:numFmt w:val="bullet"/>
      <w:lvlText w:val=""/>
      <w:lvlJc w:val="left"/>
      <w:pPr>
        <w:ind w:left="4320" w:hanging="360"/>
      </w:pPr>
      <w:rPr>
        <w:rFonts w:ascii="Wingdings" w:hAnsi="Wingdings" w:hint="default"/>
      </w:rPr>
    </w:lvl>
    <w:lvl w:ilvl="6" w:tplc="9F20FC36" w:tentative="1">
      <w:start w:val="1"/>
      <w:numFmt w:val="bullet"/>
      <w:lvlText w:val=""/>
      <w:lvlJc w:val="left"/>
      <w:pPr>
        <w:ind w:left="5040" w:hanging="360"/>
      </w:pPr>
      <w:rPr>
        <w:rFonts w:ascii="Symbol" w:hAnsi="Symbol" w:hint="default"/>
      </w:rPr>
    </w:lvl>
    <w:lvl w:ilvl="7" w:tplc="661221BE" w:tentative="1">
      <w:start w:val="1"/>
      <w:numFmt w:val="bullet"/>
      <w:lvlText w:val="o"/>
      <w:lvlJc w:val="left"/>
      <w:pPr>
        <w:ind w:left="5760" w:hanging="360"/>
      </w:pPr>
      <w:rPr>
        <w:rFonts w:ascii="Courier New" w:hAnsi="Courier New" w:cs="Courier New" w:hint="default"/>
      </w:rPr>
    </w:lvl>
    <w:lvl w:ilvl="8" w:tplc="C9DC9CB6" w:tentative="1">
      <w:start w:val="1"/>
      <w:numFmt w:val="bullet"/>
      <w:lvlText w:val=""/>
      <w:lvlJc w:val="left"/>
      <w:pPr>
        <w:ind w:left="6480" w:hanging="360"/>
      </w:pPr>
      <w:rPr>
        <w:rFonts w:ascii="Wingdings" w:hAnsi="Wingdings" w:hint="default"/>
      </w:rPr>
    </w:lvl>
  </w:abstractNum>
  <w:abstractNum w:abstractNumId="16">
    <w:nsid w:val="4E555638"/>
    <w:multiLevelType w:val="hybridMultilevel"/>
    <w:tmpl w:val="21D2CD2E"/>
    <w:lvl w:ilvl="0" w:tplc="01AC6D0A">
      <w:start w:val="1"/>
      <w:numFmt w:val="upperLetter"/>
      <w:lvlText w:val="%1."/>
      <w:lvlJc w:val="left"/>
      <w:pPr>
        <w:ind w:left="720" w:hanging="360"/>
      </w:pPr>
      <w:rPr>
        <w:rFonts w:hint="default"/>
      </w:rPr>
    </w:lvl>
    <w:lvl w:ilvl="1" w:tplc="B5646C44" w:tentative="1">
      <w:start w:val="1"/>
      <w:numFmt w:val="lowerLetter"/>
      <w:lvlText w:val="%2."/>
      <w:lvlJc w:val="left"/>
      <w:pPr>
        <w:ind w:left="1440" w:hanging="360"/>
      </w:pPr>
    </w:lvl>
    <w:lvl w:ilvl="2" w:tplc="EE6EA046" w:tentative="1">
      <w:start w:val="1"/>
      <w:numFmt w:val="lowerRoman"/>
      <w:lvlText w:val="%3."/>
      <w:lvlJc w:val="right"/>
      <w:pPr>
        <w:ind w:left="2160" w:hanging="180"/>
      </w:pPr>
    </w:lvl>
    <w:lvl w:ilvl="3" w:tplc="2216F576" w:tentative="1">
      <w:start w:val="1"/>
      <w:numFmt w:val="decimal"/>
      <w:lvlText w:val="%4."/>
      <w:lvlJc w:val="left"/>
      <w:pPr>
        <w:ind w:left="2880" w:hanging="360"/>
      </w:pPr>
    </w:lvl>
    <w:lvl w:ilvl="4" w:tplc="6542F69E" w:tentative="1">
      <w:start w:val="1"/>
      <w:numFmt w:val="lowerLetter"/>
      <w:lvlText w:val="%5."/>
      <w:lvlJc w:val="left"/>
      <w:pPr>
        <w:ind w:left="3600" w:hanging="360"/>
      </w:pPr>
    </w:lvl>
    <w:lvl w:ilvl="5" w:tplc="A0C661BE" w:tentative="1">
      <w:start w:val="1"/>
      <w:numFmt w:val="lowerRoman"/>
      <w:lvlText w:val="%6."/>
      <w:lvlJc w:val="right"/>
      <w:pPr>
        <w:ind w:left="4320" w:hanging="180"/>
      </w:pPr>
    </w:lvl>
    <w:lvl w:ilvl="6" w:tplc="5188375E" w:tentative="1">
      <w:start w:val="1"/>
      <w:numFmt w:val="decimal"/>
      <w:lvlText w:val="%7."/>
      <w:lvlJc w:val="left"/>
      <w:pPr>
        <w:ind w:left="5040" w:hanging="360"/>
      </w:pPr>
    </w:lvl>
    <w:lvl w:ilvl="7" w:tplc="A1585E52" w:tentative="1">
      <w:start w:val="1"/>
      <w:numFmt w:val="lowerLetter"/>
      <w:lvlText w:val="%8."/>
      <w:lvlJc w:val="left"/>
      <w:pPr>
        <w:ind w:left="5760" w:hanging="360"/>
      </w:pPr>
    </w:lvl>
    <w:lvl w:ilvl="8" w:tplc="CF1AB8B0" w:tentative="1">
      <w:start w:val="1"/>
      <w:numFmt w:val="lowerRoman"/>
      <w:lvlText w:val="%9."/>
      <w:lvlJc w:val="right"/>
      <w:pPr>
        <w:ind w:left="6480" w:hanging="180"/>
      </w:pPr>
    </w:lvl>
  </w:abstractNum>
  <w:abstractNum w:abstractNumId="17">
    <w:nsid w:val="51295E25"/>
    <w:multiLevelType w:val="hybridMultilevel"/>
    <w:tmpl w:val="4012554E"/>
    <w:lvl w:ilvl="0" w:tplc="67CE9FD2">
      <w:start w:val="1"/>
      <w:numFmt w:val="decimal"/>
      <w:lvlText w:val="%1."/>
      <w:lvlJc w:val="left"/>
      <w:pPr>
        <w:ind w:left="720" w:hanging="360"/>
      </w:pPr>
    </w:lvl>
    <w:lvl w:ilvl="1" w:tplc="C11E3462">
      <w:start w:val="1"/>
      <w:numFmt w:val="bullet"/>
      <w:lvlText w:val=""/>
      <w:lvlJc w:val="left"/>
      <w:pPr>
        <w:ind w:left="1440" w:hanging="360"/>
      </w:pPr>
      <w:rPr>
        <w:rFonts w:ascii="Wingdings" w:hAnsi="Wingdings" w:hint="default"/>
      </w:rPr>
    </w:lvl>
    <w:lvl w:ilvl="2" w:tplc="EF7AB576" w:tentative="1">
      <w:start w:val="1"/>
      <w:numFmt w:val="lowerRoman"/>
      <w:lvlText w:val="%3."/>
      <w:lvlJc w:val="right"/>
      <w:pPr>
        <w:ind w:left="2160" w:hanging="180"/>
      </w:pPr>
    </w:lvl>
    <w:lvl w:ilvl="3" w:tplc="E3560C0E" w:tentative="1">
      <w:start w:val="1"/>
      <w:numFmt w:val="decimal"/>
      <w:lvlText w:val="%4."/>
      <w:lvlJc w:val="left"/>
      <w:pPr>
        <w:ind w:left="2880" w:hanging="360"/>
      </w:pPr>
    </w:lvl>
    <w:lvl w:ilvl="4" w:tplc="C8D8BDD2" w:tentative="1">
      <w:start w:val="1"/>
      <w:numFmt w:val="lowerLetter"/>
      <w:lvlText w:val="%5."/>
      <w:lvlJc w:val="left"/>
      <w:pPr>
        <w:ind w:left="3600" w:hanging="360"/>
      </w:pPr>
    </w:lvl>
    <w:lvl w:ilvl="5" w:tplc="96D60E44" w:tentative="1">
      <w:start w:val="1"/>
      <w:numFmt w:val="lowerRoman"/>
      <w:lvlText w:val="%6."/>
      <w:lvlJc w:val="right"/>
      <w:pPr>
        <w:ind w:left="4320" w:hanging="180"/>
      </w:pPr>
    </w:lvl>
    <w:lvl w:ilvl="6" w:tplc="C3D0A520" w:tentative="1">
      <w:start w:val="1"/>
      <w:numFmt w:val="decimal"/>
      <w:lvlText w:val="%7."/>
      <w:lvlJc w:val="left"/>
      <w:pPr>
        <w:ind w:left="5040" w:hanging="360"/>
      </w:pPr>
    </w:lvl>
    <w:lvl w:ilvl="7" w:tplc="473AF2EA" w:tentative="1">
      <w:start w:val="1"/>
      <w:numFmt w:val="lowerLetter"/>
      <w:lvlText w:val="%8."/>
      <w:lvlJc w:val="left"/>
      <w:pPr>
        <w:ind w:left="5760" w:hanging="360"/>
      </w:pPr>
    </w:lvl>
    <w:lvl w:ilvl="8" w:tplc="80F84926" w:tentative="1">
      <w:start w:val="1"/>
      <w:numFmt w:val="lowerRoman"/>
      <w:lvlText w:val="%9."/>
      <w:lvlJc w:val="right"/>
      <w:pPr>
        <w:ind w:left="6480" w:hanging="180"/>
      </w:pPr>
    </w:lvl>
  </w:abstractNum>
  <w:abstractNum w:abstractNumId="18">
    <w:nsid w:val="55CB1C05"/>
    <w:multiLevelType w:val="hybridMultilevel"/>
    <w:tmpl w:val="3E887A90"/>
    <w:lvl w:ilvl="0" w:tplc="5394D366">
      <w:start w:val="1"/>
      <w:numFmt w:val="lowerLetter"/>
      <w:lvlText w:val="%1)"/>
      <w:lvlJc w:val="left"/>
      <w:pPr>
        <w:ind w:left="720" w:hanging="360"/>
      </w:pPr>
    </w:lvl>
    <w:lvl w:ilvl="1" w:tplc="677A365C">
      <w:start w:val="1"/>
      <w:numFmt w:val="bullet"/>
      <w:lvlText w:val=""/>
      <w:lvlJc w:val="left"/>
      <w:pPr>
        <w:ind w:left="1440" w:hanging="360"/>
      </w:pPr>
      <w:rPr>
        <w:rFonts w:ascii="Wingdings" w:hAnsi="Wingdings" w:hint="default"/>
      </w:rPr>
    </w:lvl>
    <w:lvl w:ilvl="2" w:tplc="C0D40548" w:tentative="1">
      <w:start w:val="1"/>
      <w:numFmt w:val="lowerRoman"/>
      <w:lvlText w:val="%3."/>
      <w:lvlJc w:val="right"/>
      <w:pPr>
        <w:ind w:left="2160" w:hanging="180"/>
      </w:pPr>
    </w:lvl>
    <w:lvl w:ilvl="3" w:tplc="FB30F9F6" w:tentative="1">
      <w:start w:val="1"/>
      <w:numFmt w:val="decimal"/>
      <w:lvlText w:val="%4."/>
      <w:lvlJc w:val="left"/>
      <w:pPr>
        <w:ind w:left="2880" w:hanging="360"/>
      </w:pPr>
    </w:lvl>
    <w:lvl w:ilvl="4" w:tplc="DBA843D4" w:tentative="1">
      <w:start w:val="1"/>
      <w:numFmt w:val="lowerLetter"/>
      <w:lvlText w:val="%5."/>
      <w:lvlJc w:val="left"/>
      <w:pPr>
        <w:ind w:left="3600" w:hanging="360"/>
      </w:pPr>
    </w:lvl>
    <w:lvl w:ilvl="5" w:tplc="956855B4" w:tentative="1">
      <w:start w:val="1"/>
      <w:numFmt w:val="lowerRoman"/>
      <w:lvlText w:val="%6."/>
      <w:lvlJc w:val="right"/>
      <w:pPr>
        <w:ind w:left="4320" w:hanging="180"/>
      </w:pPr>
    </w:lvl>
    <w:lvl w:ilvl="6" w:tplc="4A947F8E" w:tentative="1">
      <w:start w:val="1"/>
      <w:numFmt w:val="decimal"/>
      <w:lvlText w:val="%7."/>
      <w:lvlJc w:val="left"/>
      <w:pPr>
        <w:ind w:left="5040" w:hanging="360"/>
      </w:pPr>
    </w:lvl>
    <w:lvl w:ilvl="7" w:tplc="DD48B2C2" w:tentative="1">
      <w:start w:val="1"/>
      <w:numFmt w:val="lowerLetter"/>
      <w:lvlText w:val="%8."/>
      <w:lvlJc w:val="left"/>
      <w:pPr>
        <w:ind w:left="5760" w:hanging="360"/>
      </w:pPr>
    </w:lvl>
    <w:lvl w:ilvl="8" w:tplc="5F803048" w:tentative="1">
      <w:start w:val="1"/>
      <w:numFmt w:val="lowerRoman"/>
      <w:lvlText w:val="%9."/>
      <w:lvlJc w:val="right"/>
      <w:pPr>
        <w:ind w:left="6480" w:hanging="180"/>
      </w:pPr>
    </w:lvl>
  </w:abstractNum>
  <w:abstractNum w:abstractNumId="19">
    <w:nsid w:val="55D87C9E"/>
    <w:multiLevelType w:val="hybridMultilevel"/>
    <w:tmpl w:val="E9DE8A54"/>
    <w:lvl w:ilvl="0" w:tplc="70DE79AC">
      <w:start w:val="1"/>
      <w:numFmt w:val="bullet"/>
      <w:lvlText w:val=""/>
      <w:lvlJc w:val="left"/>
      <w:pPr>
        <w:ind w:left="1440" w:hanging="360"/>
      </w:pPr>
      <w:rPr>
        <w:rFonts w:ascii="Wingdings" w:hAnsi="Wingdings" w:hint="default"/>
      </w:rPr>
    </w:lvl>
    <w:lvl w:ilvl="1" w:tplc="48766F12" w:tentative="1">
      <w:start w:val="1"/>
      <w:numFmt w:val="bullet"/>
      <w:lvlText w:val="o"/>
      <w:lvlJc w:val="left"/>
      <w:pPr>
        <w:ind w:left="2160" w:hanging="360"/>
      </w:pPr>
      <w:rPr>
        <w:rFonts w:ascii="Courier New" w:hAnsi="Courier New" w:cs="Courier New" w:hint="default"/>
      </w:rPr>
    </w:lvl>
    <w:lvl w:ilvl="2" w:tplc="8F1C97A4" w:tentative="1">
      <w:start w:val="1"/>
      <w:numFmt w:val="bullet"/>
      <w:lvlText w:val=""/>
      <w:lvlJc w:val="left"/>
      <w:pPr>
        <w:ind w:left="2880" w:hanging="360"/>
      </w:pPr>
      <w:rPr>
        <w:rFonts w:ascii="Wingdings" w:hAnsi="Wingdings" w:hint="default"/>
      </w:rPr>
    </w:lvl>
    <w:lvl w:ilvl="3" w:tplc="025615B8" w:tentative="1">
      <w:start w:val="1"/>
      <w:numFmt w:val="bullet"/>
      <w:lvlText w:val=""/>
      <w:lvlJc w:val="left"/>
      <w:pPr>
        <w:ind w:left="3600" w:hanging="360"/>
      </w:pPr>
      <w:rPr>
        <w:rFonts w:ascii="Symbol" w:hAnsi="Symbol" w:hint="default"/>
      </w:rPr>
    </w:lvl>
    <w:lvl w:ilvl="4" w:tplc="74847DA2" w:tentative="1">
      <w:start w:val="1"/>
      <w:numFmt w:val="bullet"/>
      <w:lvlText w:val="o"/>
      <w:lvlJc w:val="left"/>
      <w:pPr>
        <w:ind w:left="4320" w:hanging="360"/>
      </w:pPr>
      <w:rPr>
        <w:rFonts w:ascii="Courier New" w:hAnsi="Courier New" w:cs="Courier New" w:hint="default"/>
      </w:rPr>
    </w:lvl>
    <w:lvl w:ilvl="5" w:tplc="4BAC9368" w:tentative="1">
      <w:start w:val="1"/>
      <w:numFmt w:val="bullet"/>
      <w:lvlText w:val=""/>
      <w:lvlJc w:val="left"/>
      <w:pPr>
        <w:ind w:left="5040" w:hanging="360"/>
      </w:pPr>
      <w:rPr>
        <w:rFonts w:ascii="Wingdings" w:hAnsi="Wingdings" w:hint="default"/>
      </w:rPr>
    </w:lvl>
    <w:lvl w:ilvl="6" w:tplc="AA089F8C" w:tentative="1">
      <w:start w:val="1"/>
      <w:numFmt w:val="bullet"/>
      <w:lvlText w:val=""/>
      <w:lvlJc w:val="left"/>
      <w:pPr>
        <w:ind w:left="5760" w:hanging="360"/>
      </w:pPr>
      <w:rPr>
        <w:rFonts w:ascii="Symbol" w:hAnsi="Symbol" w:hint="default"/>
      </w:rPr>
    </w:lvl>
    <w:lvl w:ilvl="7" w:tplc="3DBCB424" w:tentative="1">
      <w:start w:val="1"/>
      <w:numFmt w:val="bullet"/>
      <w:lvlText w:val="o"/>
      <w:lvlJc w:val="left"/>
      <w:pPr>
        <w:ind w:left="6480" w:hanging="360"/>
      </w:pPr>
      <w:rPr>
        <w:rFonts w:ascii="Courier New" w:hAnsi="Courier New" w:cs="Courier New" w:hint="default"/>
      </w:rPr>
    </w:lvl>
    <w:lvl w:ilvl="8" w:tplc="4BB4ADD8" w:tentative="1">
      <w:start w:val="1"/>
      <w:numFmt w:val="bullet"/>
      <w:lvlText w:val=""/>
      <w:lvlJc w:val="left"/>
      <w:pPr>
        <w:ind w:left="7200" w:hanging="360"/>
      </w:pPr>
      <w:rPr>
        <w:rFonts w:ascii="Wingdings" w:hAnsi="Wingdings" w:hint="default"/>
      </w:rPr>
    </w:lvl>
  </w:abstractNum>
  <w:abstractNum w:abstractNumId="20">
    <w:nsid w:val="5772096D"/>
    <w:multiLevelType w:val="hybridMultilevel"/>
    <w:tmpl w:val="97D2D5FC"/>
    <w:lvl w:ilvl="0" w:tplc="84A65240">
      <w:start w:val="1"/>
      <w:numFmt w:val="bullet"/>
      <w:lvlText w:val=""/>
      <w:lvlJc w:val="left"/>
      <w:pPr>
        <w:ind w:left="720" w:hanging="360"/>
      </w:pPr>
      <w:rPr>
        <w:rFonts w:ascii="Wingdings" w:hAnsi="Wingdings" w:hint="default"/>
      </w:rPr>
    </w:lvl>
    <w:lvl w:ilvl="1" w:tplc="C1BCFE78" w:tentative="1">
      <w:start w:val="1"/>
      <w:numFmt w:val="bullet"/>
      <w:lvlText w:val="o"/>
      <w:lvlJc w:val="left"/>
      <w:pPr>
        <w:ind w:left="1440" w:hanging="360"/>
      </w:pPr>
      <w:rPr>
        <w:rFonts w:ascii="Courier New" w:hAnsi="Courier New" w:cs="Courier New" w:hint="default"/>
      </w:rPr>
    </w:lvl>
    <w:lvl w:ilvl="2" w:tplc="CC7085A0" w:tentative="1">
      <w:start w:val="1"/>
      <w:numFmt w:val="bullet"/>
      <w:lvlText w:val=""/>
      <w:lvlJc w:val="left"/>
      <w:pPr>
        <w:ind w:left="2160" w:hanging="360"/>
      </w:pPr>
      <w:rPr>
        <w:rFonts w:ascii="Wingdings" w:hAnsi="Wingdings" w:hint="default"/>
      </w:rPr>
    </w:lvl>
    <w:lvl w:ilvl="3" w:tplc="CB2AB0A2" w:tentative="1">
      <w:start w:val="1"/>
      <w:numFmt w:val="bullet"/>
      <w:lvlText w:val=""/>
      <w:lvlJc w:val="left"/>
      <w:pPr>
        <w:ind w:left="2880" w:hanging="360"/>
      </w:pPr>
      <w:rPr>
        <w:rFonts w:ascii="Symbol" w:hAnsi="Symbol" w:hint="default"/>
      </w:rPr>
    </w:lvl>
    <w:lvl w:ilvl="4" w:tplc="D7C657A4" w:tentative="1">
      <w:start w:val="1"/>
      <w:numFmt w:val="bullet"/>
      <w:lvlText w:val="o"/>
      <w:lvlJc w:val="left"/>
      <w:pPr>
        <w:ind w:left="3600" w:hanging="360"/>
      </w:pPr>
      <w:rPr>
        <w:rFonts w:ascii="Courier New" w:hAnsi="Courier New" w:cs="Courier New" w:hint="default"/>
      </w:rPr>
    </w:lvl>
    <w:lvl w:ilvl="5" w:tplc="AAEA512E" w:tentative="1">
      <w:start w:val="1"/>
      <w:numFmt w:val="bullet"/>
      <w:lvlText w:val=""/>
      <w:lvlJc w:val="left"/>
      <w:pPr>
        <w:ind w:left="4320" w:hanging="360"/>
      </w:pPr>
      <w:rPr>
        <w:rFonts w:ascii="Wingdings" w:hAnsi="Wingdings" w:hint="default"/>
      </w:rPr>
    </w:lvl>
    <w:lvl w:ilvl="6" w:tplc="C4B26830" w:tentative="1">
      <w:start w:val="1"/>
      <w:numFmt w:val="bullet"/>
      <w:lvlText w:val=""/>
      <w:lvlJc w:val="left"/>
      <w:pPr>
        <w:ind w:left="5040" w:hanging="360"/>
      </w:pPr>
      <w:rPr>
        <w:rFonts w:ascii="Symbol" w:hAnsi="Symbol" w:hint="default"/>
      </w:rPr>
    </w:lvl>
    <w:lvl w:ilvl="7" w:tplc="97145076" w:tentative="1">
      <w:start w:val="1"/>
      <w:numFmt w:val="bullet"/>
      <w:lvlText w:val="o"/>
      <w:lvlJc w:val="left"/>
      <w:pPr>
        <w:ind w:left="5760" w:hanging="360"/>
      </w:pPr>
      <w:rPr>
        <w:rFonts w:ascii="Courier New" w:hAnsi="Courier New" w:cs="Courier New" w:hint="default"/>
      </w:rPr>
    </w:lvl>
    <w:lvl w:ilvl="8" w:tplc="1F8ED11E" w:tentative="1">
      <w:start w:val="1"/>
      <w:numFmt w:val="bullet"/>
      <w:lvlText w:val=""/>
      <w:lvlJc w:val="left"/>
      <w:pPr>
        <w:ind w:left="6480" w:hanging="360"/>
      </w:pPr>
      <w:rPr>
        <w:rFonts w:ascii="Wingdings" w:hAnsi="Wingdings" w:hint="default"/>
      </w:rPr>
    </w:lvl>
  </w:abstractNum>
  <w:abstractNum w:abstractNumId="21">
    <w:nsid w:val="59402240"/>
    <w:multiLevelType w:val="hybridMultilevel"/>
    <w:tmpl w:val="A858C7FE"/>
    <w:lvl w:ilvl="0" w:tplc="AFD613EE">
      <w:start w:val="1"/>
      <w:numFmt w:val="bullet"/>
      <w:lvlText w:val=""/>
      <w:lvlJc w:val="left"/>
      <w:pPr>
        <w:ind w:left="1440" w:hanging="360"/>
      </w:pPr>
      <w:rPr>
        <w:rFonts w:ascii="Wingdings" w:hAnsi="Wingdings" w:hint="default"/>
      </w:rPr>
    </w:lvl>
    <w:lvl w:ilvl="1" w:tplc="E732E67C" w:tentative="1">
      <w:start w:val="1"/>
      <w:numFmt w:val="bullet"/>
      <w:lvlText w:val="o"/>
      <w:lvlJc w:val="left"/>
      <w:pPr>
        <w:ind w:left="2160" w:hanging="360"/>
      </w:pPr>
      <w:rPr>
        <w:rFonts w:ascii="Courier New" w:hAnsi="Courier New" w:cs="Courier New" w:hint="default"/>
      </w:rPr>
    </w:lvl>
    <w:lvl w:ilvl="2" w:tplc="C8D080D0" w:tentative="1">
      <w:start w:val="1"/>
      <w:numFmt w:val="bullet"/>
      <w:lvlText w:val=""/>
      <w:lvlJc w:val="left"/>
      <w:pPr>
        <w:ind w:left="2880" w:hanging="360"/>
      </w:pPr>
      <w:rPr>
        <w:rFonts w:ascii="Wingdings" w:hAnsi="Wingdings" w:hint="default"/>
      </w:rPr>
    </w:lvl>
    <w:lvl w:ilvl="3" w:tplc="1DA25B0C" w:tentative="1">
      <w:start w:val="1"/>
      <w:numFmt w:val="bullet"/>
      <w:lvlText w:val=""/>
      <w:lvlJc w:val="left"/>
      <w:pPr>
        <w:ind w:left="3600" w:hanging="360"/>
      </w:pPr>
      <w:rPr>
        <w:rFonts w:ascii="Symbol" w:hAnsi="Symbol" w:hint="default"/>
      </w:rPr>
    </w:lvl>
    <w:lvl w:ilvl="4" w:tplc="3E3AABAC" w:tentative="1">
      <w:start w:val="1"/>
      <w:numFmt w:val="bullet"/>
      <w:lvlText w:val="o"/>
      <w:lvlJc w:val="left"/>
      <w:pPr>
        <w:ind w:left="4320" w:hanging="360"/>
      </w:pPr>
      <w:rPr>
        <w:rFonts w:ascii="Courier New" w:hAnsi="Courier New" w:cs="Courier New" w:hint="default"/>
      </w:rPr>
    </w:lvl>
    <w:lvl w:ilvl="5" w:tplc="9886E98E" w:tentative="1">
      <w:start w:val="1"/>
      <w:numFmt w:val="bullet"/>
      <w:lvlText w:val=""/>
      <w:lvlJc w:val="left"/>
      <w:pPr>
        <w:ind w:left="5040" w:hanging="360"/>
      </w:pPr>
      <w:rPr>
        <w:rFonts w:ascii="Wingdings" w:hAnsi="Wingdings" w:hint="default"/>
      </w:rPr>
    </w:lvl>
    <w:lvl w:ilvl="6" w:tplc="8716E43A" w:tentative="1">
      <w:start w:val="1"/>
      <w:numFmt w:val="bullet"/>
      <w:lvlText w:val=""/>
      <w:lvlJc w:val="left"/>
      <w:pPr>
        <w:ind w:left="5760" w:hanging="360"/>
      </w:pPr>
      <w:rPr>
        <w:rFonts w:ascii="Symbol" w:hAnsi="Symbol" w:hint="default"/>
      </w:rPr>
    </w:lvl>
    <w:lvl w:ilvl="7" w:tplc="42563D44" w:tentative="1">
      <w:start w:val="1"/>
      <w:numFmt w:val="bullet"/>
      <w:lvlText w:val="o"/>
      <w:lvlJc w:val="left"/>
      <w:pPr>
        <w:ind w:left="6480" w:hanging="360"/>
      </w:pPr>
      <w:rPr>
        <w:rFonts w:ascii="Courier New" w:hAnsi="Courier New" w:cs="Courier New" w:hint="default"/>
      </w:rPr>
    </w:lvl>
    <w:lvl w:ilvl="8" w:tplc="D10AEBF4" w:tentative="1">
      <w:start w:val="1"/>
      <w:numFmt w:val="bullet"/>
      <w:lvlText w:val=""/>
      <w:lvlJc w:val="left"/>
      <w:pPr>
        <w:ind w:left="7200" w:hanging="360"/>
      </w:pPr>
      <w:rPr>
        <w:rFonts w:ascii="Wingdings" w:hAnsi="Wingdings" w:hint="default"/>
      </w:rPr>
    </w:lvl>
  </w:abstractNum>
  <w:abstractNum w:abstractNumId="22">
    <w:nsid w:val="5E622923"/>
    <w:multiLevelType w:val="hybridMultilevel"/>
    <w:tmpl w:val="BB845C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ED674D4"/>
    <w:multiLevelType w:val="hybridMultilevel"/>
    <w:tmpl w:val="67C6A87E"/>
    <w:lvl w:ilvl="0" w:tplc="4C9EA320">
      <w:start w:val="1"/>
      <w:numFmt w:val="decimal"/>
      <w:lvlText w:val="%1-"/>
      <w:lvlJc w:val="left"/>
      <w:pPr>
        <w:ind w:left="720" w:hanging="360"/>
      </w:pPr>
      <w:rPr>
        <w:rFonts w:hint="default"/>
      </w:rPr>
    </w:lvl>
    <w:lvl w:ilvl="1" w:tplc="AD621AC2" w:tentative="1">
      <w:start w:val="1"/>
      <w:numFmt w:val="lowerLetter"/>
      <w:lvlText w:val="%2."/>
      <w:lvlJc w:val="left"/>
      <w:pPr>
        <w:ind w:left="1440" w:hanging="360"/>
      </w:pPr>
    </w:lvl>
    <w:lvl w:ilvl="2" w:tplc="D5CECA20" w:tentative="1">
      <w:start w:val="1"/>
      <w:numFmt w:val="lowerRoman"/>
      <w:lvlText w:val="%3."/>
      <w:lvlJc w:val="right"/>
      <w:pPr>
        <w:ind w:left="2160" w:hanging="180"/>
      </w:pPr>
    </w:lvl>
    <w:lvl w:ilvl="3" w:tplc="E9FE5FC4" w:tentative="1">
      <w:start w:val="1"/>
      <w:numFmt w:val="decimal"/>
      <w:lvlText w:val="%4."/>
      <w:lvlJc w:val="left"/>
      <w:pPr>
        <w:ind w:left="2880" w:hanging="360"/>
      </w:pPr>
    </w:lvl>
    <w:lvl w:ilvl="4" w:tplc="54D60538" w:tentative="1">
      <w:start w:val="1"/>
      <w:numFmt w:val="lowerLetter"/>
      <w:lvlText w:val="%5."/>
      <w:lvlJc w:val="left"/>
      <w:pPr>
        <w:ind w:left="3600" w:hanging="360"/>
      </w:pPr>
    </w:lvl>
    <w:lvl w:ilvl="5" w:tplc="A99C78CC" w:tentative="1">
      <w:start w:val="1"/>
      <w:numFmt w:val="lowerRoman"/>
      <w:lvlText w:val="%6."/>
      <w:lvlJc w:val="right"/>
      <w:pPr>
        <w:ind w:left="4320" w:hanging="180"/>
      </w:pPr>
    </w:lvl>
    <w:lvl w:ilvl="6" w:tplc="C45EDDF6" w:tentative="1">
      <w:start w:val="1"/>
      <w:numFmt w:val="decimal"/>
      <w:lvlText w:val="%7."/>
      <w:lvlJc w:val="left"/>
      <w:pPr>
        <w:ind w:left="5040" w:hanging="360"/>
      </w:pPr>
    </w:lvl>
    <w:lvl w:ilvl="7" w:tplc="9F30A14C" w:tentative="1">
      <w:start w:val="1"/>
      <w:numFmt w:val="lowerLetter"/>
      <w:lvlText w:val="%8."/>
      <w:lvlJc w:val="left"/>
      <w:pPr>
        <w:ind w:left="5760" w:hanging="360"/>
      </w:pPr>
    </w:lvl>
    <w:lvl w:ilvl="8" w:tplc="7BB090B6" w:tentative="1">
      <w:start w:val="1"/>
      <w:numFmt w:val="lowerRoman"/>
      <w:lvlText w:val="%9."/>
      <w:lvlJc w:val="right"/>
      <w:pPr>
        <w:ind w:left="6480" w:hanging="180"/>
      </w:pPr>
    </w:lvl>
  </w:abstractNum>
  <w:abstractNum w:abstractNumId="24">
    <w:nsid w:val="60C958E8"/>
    <w:multiLevelType w:val="hybridMultilevel"/>
    <w:tmpl w:val="97AE72A2"/>
    <w:lvl w:ilvl="0" w:tplc="5BC4D180">
      <w:start w:val="1"/>
      <w:numFmt w:val="upperLetter"/>
      <w:lvlText w:val="%1-"/>
      <w:lvlJc w:val="left"/>
      <w:pPr>
        <w:ind w:left="720" w:hanging="360"/>
      </w:pPr>
      <w:rPr>
        <w:rFonts w:hint="default"/>
      </w:rPr>
    </w:lvl>
    <w:lvl w:ilvl="1" w:tplc="B870372C" w:tentative="1">
      <w:start w:val="1"/>
      <w:numFmt w:val="lowerLetter"/>
      <w:lvlText w:val="%2."/>
      <w:lvlJc w:val="left"/>
      <w:pPr>
        <w:ind w:left="1440" w:hanging="360"/>
      </w:pPr>
    </w:lvl>
    <w:lvl w:ilvl="2" w:tplc="22B60596" w:tentative="1">
      <w:start w:val="1"/>
      <w:numFmt w:val="lowerRoman"/>
      <w:lvlText w:val="%3."/>
      <w:lvlJc w:val="right"/>
      <w:pPr>
        <w:ind w:left="2160" w:hanging="180"/>
      </w:pPr>
    </w:lvl>
    <w:lvl w:ilvl="3" w:tplc="B5AE5F32" w:tentative="1">
      <w:start w:val="1"/>
      <w:numFmt w:val="decimal"/>
      <w:lvlText w:val="%4."/>
      <w:lvlJc w:val="left"/>
      <w:pPr>
        <w:ind w:left="2880" w:hanging="360"/>
      </w:pPr>
    </w:lvl>
    <w:lvl w:ilvl="4" w:tplc="8368BD14" w:tentative="1">
      <w:start w:val="1"/>
      <w:numFmt w:val="lowerLetter"/>
      <w:lvlText w:val="%5."/>
      <w:lvlJc w:val="left"/>
      <w:pPr>
        <w:ind w:left="3600" w:hanging="360"/>
      </w:pPr>
    </w:lvl>
    <w:lvl w:ilvl="5" w:tplc="2410D0D4" w:tentative="1">
      <w:start w:val="1"/>
      <w:numFmt w:val="lowerRoman"/>
      <w:lvlText w:val="%6."/>
      <w:lvlJc w:val="right"/>
      <w:pPr>
        <w:ind w:left="4320" w:hanging="180"/>
      </w:pPr>
    </w:lvl>
    <w:lvl w:ilvl="6" w:tplc="CFA20C42" w:tentative="1">
      <w:start w:val="1"/>
      <w:numFmt w:val="decimal"/>
      <w:lvlText w:val="%7."/>
      <w:lvlJc w:val="left"/>
      <w:pPr>
        <w:ind w:left="5040" w:hanging="360"/>
      </w:pPr>
    </w:lvl>
    <w:lvl w:ilvl="7" w:tplc="BD9C8270" w:tentative="1">
      <w:start w:val="1"/>
      <w:numFmt w:val="lowerLetter"/>
      <w:lvlText w:val="%8."/>
      <w:lvlJc w:val="left"/>
      <w:pPr>
        <w:ind w:left="5760" w:hanging="360"/>
      </w:pPr>
    </w:lvl>
    <w:lvl w:ilvl="8" w:tplc="876CCA8A" w:tentative="1">
      <w:start w:val="1"/>
      <w:numFmt w:val="lowerRoman"/>
      <w:lvlText w:val="%9."/>
      <w:lvlJc w:val="right"/>
      <w:pPr>
        <w:ind w:left="6480" w:hanging="180"/>
      </w:pPr>
    </w:lvl>
  </w:abstractNum>
  <w:abstractNum w:abstractNumId="25">
    <w:nsid w:val="60F720FB"/>
    <w:multiLevelType w:val="hybridMultilevel"/>
    <w:tmpl w:val="3E887A90"/>
    <w:lvl w:ilvl="0" w:tplc="956AAD90">
      <w:start w:val="1"/>
      <w:numFmt w:val="lowerLetter"/>
      <w:lvlText w:val="%1)"/>
      <w:lvlJc w:val="left"/>
      <w:pPr>
        <w:ind w:left="720" w:hanging="360"/>
      </w:pPr>
    </w:lvl>
    <w:lvl w:ilvl="1" w:tplc="E3304E36">
      <w:start w:val="1"/>
      <w:numFmt w:val="bullet"/>
      <w:lvlText w:val=""/>
      <w:lvlJc w:val="left"/>
      <w:pPr>
        <w:ind w:left="1440" w:hanging="360"/>
      </w:pPr>
      <w:rPr>
        <w:rFonts w:ascii="Wingdings" w:hAnsi="Wingdings" w:hint="default"/>
      </w:rPr>
    </w:lvl>
    <w:lvl w:ilvl="2" w:tplc="EABE41FC" w:tentative="1">
      <w:start w:val="1"/>
      <w:numFmt w:val="lowerRoman"/>
      <w:lvlText w:val="%3."/>
      <w:lvlJc w:val="right"/>
      <w:pPr>
        <w:ind w:left="2160" w:hanging="180"/>
      </w:pPr>
    </w:lvl>
    <w:lvl w:ilvl="3" w:tplc="E98C59BE" w:tentative="1">
      <w:start w:val="1"/>
      <w:numFmt w:val="decimal"/>
      <w:lvlText w:val="%4."/>
      <w:lvlJc w:val="left"/>
      <w:pPr>
        <w:ind w:left="2880" w:hanging="360"/>
      </w:pPr>
    </w:lvl>
    <w:lvl w:ilvl="4" w:tplc="3314E9DE" w:tentative="1">
      <w:start w:val="1"/>
      <w:numFmt w:val="lowerLetter"/>
      <w:lvlText w:val="%5."/>
      <w:lvlJc w:val="left"/>
      <w:pPr>
        <w:ind w:left="3600" w:hanging="360"/>
      </w:pPr>
    </w:lvl>
    <w:lvl w:ilvl="5" w:tplc="87E254CC" w:tentative="1">
      <w:start w:val="1"/>
      <w:numFmt w:val="lowerRoman"/>
      <w:lvlText w:val="%6."/>
      <w:lvlJc w:val="right"/>
      <w:pPr>
        <w:ind w:left="4320" w:hanging="180"/>
      </w:pPr>
    </w:lvl>
    <w:lvl w:ilvl="6" w:tplc="68480D92" w:tentative="1">
      <w:start w:val="1"/>
      <w:numFmt w:val="decimal"/>
      <w:lvlText w:val="%7."/>
      <w:lvlJc w:val="left"/>
      <w:pPr>
        <w:ind w:left="5040" w:hanging="360"/>
      </w:pPr>
    </w:lvl>
    <w:lvl w:ilvl="7" w:tplc="F0EC515E" w:tentative="1">
      <w:start w:val="1"/>
      <w:numFmt w:val="lowerLetter"/>
      <w:lvlText w:val="%8."/>
      <w:lvlJc w:val="left"/>
      <w:pPr>
        <w:ind w:left="5760" w:hanging="360"/>
      </w:pPr>
    </w:lvl>
    <w:lvl w:ilvl="8" w:tplc="F4E6E2A6" w:tentative="1">
      <w:start w:val="1"/>
      <w:numFmt w:val="lowerRoman"/>
      <w:lvlText w:val="%9."/>
      <w:lvlJc w:val="right"/>
      <w:pPr>
        <w:ind w:left="6480" w:hanging="180"/>
      </w:pPr>
    </w:lvl>
  </w:abstractNum>
  <w:abstractNum w:abstractNumId="26">
    <w:nsid w:val="619F5C94"/>
    <w:multiLevelType w:val="hybridMultilevel"/>
    <w:tmpl w:val="650880BC"/>
    <w:lvl w:ilvl="0" w:tplc="A3BAC418">
      <w:start w:val="1"/>
      <w:numFmt w:val="low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3796E21"/>
    <w:multiLevelType w:val="hybridMultilevel"/>
    <w:tmpl w:val="12D87034"/>
    <w:lvl w:ilvl="0" w:tplc="3A9CDE6A">
      <w:start w:val="1"/>
      <w:numFmt w:val="decimal"/>
      <w:lvlText w:val="%1."/>
      <w:lvlJc w:val="left"/>
      <w:pPr>
        <w:ind w:left="720" w:hanging="360"/>
      </w:pPr>
    </w:lvl>
    <w:lvl w:ilvl="1" w:tplc="28C0C08C">
      <w:start w:val="1"/>
      <w:numFmt w:val="lowerLetter"/>
      <w:lvlText w:val="%2."/>
      <w:lvlJc w:val="left"/>
      <w:pPr>
        <w:ind w:left="1440" w:hanging="360"/>
      </w:pPr>
    </w:lvl>
    <w:lvl w:ilvl="2" w:tplc="7736EF24" w:tentative="1">
      <w:start w:val="1"/>
      <w:numFmt w:val="lowerRoman"/>
      <w:lvlText w:val="%3."/>
      <w:lvlJc w:val="right"/>
      <w:pPr>
        <w:ind w:left="2160" w:hanging="180"/>
      </w:pPr>
    </w:lvl>
    <w:lvl w:ilvl="3" w:tplc="DBE690BC" w:tentative="1">
      <w:start w:val="1"/>
      <w:numFmt w:val="decimal"/>
      <w:lvlText w:val="%4."/>
      <w:lvlJc w:val="left"/>
      <w:pPr>
        <w:ind w:left="2880" w:hanging="360"/>
      </w:pPr>
    </w:lvl>
    <w:lvl w:ilvl="4" w:tplc="0FDA9572" w:tentative="1">
      <w:start w:val="1"/>
      <w:numFmt w:val="lowerLetter"/>
      <w:lvlText w:val="%5."/>
      <w:lvlJc w:val="left"/>
      <w:pPr>
        <w:ind w:left="3600" w:hanging="360"/>
      </w:pPr>
    </w:lvl>
    <w:lvl w:ilvl="5" w:tplc="A9383C9C" w:tentative="1">
      <w:start w:val="1"/>
      <w:numFmt w:val="lowerRoman"/>
      <w:lvlText w:val="%6."/>
      <w:lvlJc w:val="right"/>
      <w:pPr>
        <w:ind w:left="4320" w:hanging="180"/>
      </w:pPr>
    </w:lvl>
    <w:lvl w:ilvl="6" w:tplc="AFBC63CE" w:tentative="1">
      <w:start w:val="1"/>
      <w:numFmt w:val="decimal"/>
      <w:lvlText w:val="%7."/>
      <w:lvlJc w:val="left"/>
      <w:pPr>
        <w:ind w:left="5040" w:hanging="360"/>
      </w:pPr>
    </w:lvl>
    <w:lvl w:ilvl="7" w:tplc="4D18EEA8" w:tentative="1">
      <w:start w:val="1"/>
      <w:numFmt w:val="lowerLetter"/>
      <w:lvlText w:val="%8."/>
      <w:lvlJc w:val="left"/>
      <w:pPr>
        <w:ind w:left="5760" w:hanging="360"/>
      </w:pPr>
    </w:lvl>
    <w:lvl w:ilvl="8" w:tplc="344A5874" w:tentative="1">
      <w:start w:val="1"/>
      <w:numFmt w:val="lowerRoman"/>
      <w:lvlText w:val="%9."/>
      <w:lvlJc w:val="right"/>
      <w:pPr>
        <w:ind w:left="6480" w:hanging="180"/>
      </w:pPr>
    </w:lvl>
  </w:abstractNum>
  <w:abstractNum w:abstractNumId="28">
    <w:nsid w:val="64DB5EE4"/>
    <w:multiLevelType w:val="hybridMultilevel"/>
    <w:tmpl w:val="FE883DF0"/>
    <w:lvl w:ilvl="0" w:tplc="42508B2E">
      <w:start w:val="1"/>
      <w:numFmt w:val="decimal"/>
      <w:lvlText w:val="%1."/>
      <w:lvlJc w:val="left"/>
      <w:pPr>
        <w:ind w:left="720" w:hanging="360"/>
      </w:pPr>
    </w:lvl>
    <w:lvl w:ilvl="1" w:tplc="C46E34CE" w:tentative="1">
      <w:start w:val="1"/>
      <w:numFmt w:val="lowerLetter"/>
      <w:lvlText w:val="%2."/>
      <w:lvlJc w:val="left"/>
      <w:pPr>
        <w:ind w:left="1440" w:hanging="360"/>
      </w:pPr>
    </w:lvl>
    <w:lvl w:ilvl="2" w:tplc="52144FFA" w:tentative="1">
      <w:start w:val="1"/>
      <w:numFmt w:val="lowerRoman"/>
      <w:lvlText w:val="%3."/>
      <w:lvlJc w:val="right"/>
      <w:pPr>
        <w:ind w:left="2160" w:hanging="180"/>
      </w:pPr>
    </w:lvl>
    <w:lvl w:ilvl="3" w:tplc="8B7CAEE2" w:tentative="1">
      <w:start w:val="1"/>
      <w:numFmt w:val="decimal"/>
      <w:lvlText w:val="%4."/>
      <w:lvlJc w:val="left"/>
      <w:pPr>
        <w:ind w:left="2880" w:hanging="360"/>
      </w:pPr>
    </w:lvl>
    <w:lvl w:ilvl="4" w:tplc="AF9A57A6" w:tentative="1">
      <w:start w:val="1"/>
      <w:numFmt w:val="lowerLetter"/>
      <w:lvlText w:val="%5."/>
      <w:lvlJc w:val="left"/>
      <w:pPr>
        <w:ind w:left="3600" w:hanging="360"/>
      </w:pPr>
    </w:lvl>
    <w:lvl w:ilvl="5" w:tplc="00EE1C5A" w:tentative="1">
      <w:start w:val="1"/>
      <w:numFmt w:val="lowerRoman"/>
      <w:lvlText w:val="%6."/>
      <w:lvlJc w:val="right"/>
      <w:pPr>
        <w:ind w:left="4320" w:hanging="180"/>
      </w:pPr>
    </w:lvl>
    <w:lvl w:ilvl="6" w:tplc="2A7AEFD8" w:tentative="1">
      <w:start w:val="1"/>
      <w:numFmt w:val="decimal"/>
      <w:lvlText w:val="%7."/>
      <w:lvlJc w:val="left"/>
      <w:pPr>
        <w:ind w:left="5040" w:hanging="360"/>
      </w:pPr>
    </w:lvl>
    <w:lvl w:ilvl="7" w:tplc="C7688840" w:tentative="1">
      <w:start w:val="1"/>
      <w:numFmt w:val="lowerLetter"/>
      <w:lvlText w:val="%8."/>
      <w:lvlJc w:val="left"/>
      <w:pPr>
        <w:ind w:left="5760" w:hanging="360"/>
      </w:pPr>
    </w:lvl>
    <w:lvl w:ilvl="8" w:tplc="A5CA9F88" w:tentative="1">
      <w:start w:val="1"/>
      <w:numFmt w:val="lowerRoman"/>
      <w:lvlText w:val="%9."/>
      <w:lvlJc w:val="right"/>
      <w:pPr>
        <w:ind w:left="6480" w:hanging="180"/>
      </w:pPr>
    </w:lvl>
  </w:abstractNum>
  <w:abstractNum w:abstractNumId="29">
    <w:nsid w:val="65DB3EBA"/>
    <w:multiLevelType w:val="hybridMultilevel"/>
    <w:tmpl w:val="6CD6BD74"/>
    <w:lvl w:ilvl="0" w:tplc="4F06F844">
      <w:start w:val="1"/>
      <w:numFmt w:val="decimal"/>
      <w:lvlText w:val="%1)"/>
      <w:lvlJc w:val="left"/>
      <w:pPr>
        <w:ind w:left="720" w:hanging="360"/>
      </w:pPr>
    </w:lvl>
    <w:lvl w:ilvl="1" w:tplc="E13A1D2E">
      <w:start w:val="1"/>
      <w:numFmt w:val="bullet"/>
      <w:lvlText w:val=""/>
      <w:lvlJc w:val="left"/>
      <w:pPr>
        <w:ind w:left="1440" w:hanging="360"/>
      </w:pPr>
      <w:rPr>
        <w:rFonts w:ascii="Wingdings" w:hAnsi="Wingdings" w:hint="default"/>
        <w:color w:val="000000" w:themeColor="text1"/>
      </w:rPr>
    </w:lvl>
    <w:lvl w:ilvl="2" w:tplc="B15EDBBC" w:tentative="1">
      <w:start w:val="1"/>
      <w:numFmt w:val="lowerRoman"/>
      <w:lvlText w:val="%3."/>
      <w:lvlJc w:val="right"/>
      <w:pPr>
        <w:ind w:left="2160" w:hanging="180"/>
      </w:pPr>
    </w:lvl>
    <w:lvl w:ilvl="3" w:tplc="65A6E648" w:tentative="1">
      <w:start w:val="1"/>
      <w:numFmt w:val="decimal"/>
      <w:lvlText w:val="%4."/>
      <w:lvlJc w:val="left"/>
      <w:pPr>
        <w:ind w:left="2880" w:hanging="360"/>
      </w:pPr>
    </w:lvl>
    <w:lvl w:ilvl="4" w:tplc="1CD0B5BE" w:tentative="1">
      <w:start w:val="1"/>
      <w:numFmt w:val="lowerLetter"/>
      <w:lvlText w:val="%5."/>
      <w:lvlJc w:val="left"/>
      <w:pPr>
        <w:ind w:left="3600" w:hanging="360"/>
      </w:pPr>
    </w:lvl>
    <w:lvl w:ilvl="5" w:tplc="D7AA1206" w:tentative="1">
      <w:start w:val="1"/>
      <w:numFmt w:val="lowerRoman"/>
      <w:lvlText w:val="%6."/>
      <w:lvlJc w:val="right"/>
      <w:pPr>
        <w:ind w:left="4320" w:hanging="180"/>
      </w:pPr>
    </w:lvl>
    <w:lvl w:ilvl="6" w:tplc="F49A61E0" w:tentative="1">
      <w:start w:val="1"/>
      <w:numFmt w:val="decimal"/>
      <w:lvlText w:val="%7."/>
      <w:lvlJc w:val="left"/>
      <w:pPr>
        <w:ind w:left="5040" w:hanging="360"/>
      </w:pPr>
    </w:lvl>
    <w:lvl w:ilvl="7" w:tplc="5D04DCCA" w:tentative="1">
      <w:start w:val="1"/>
      <w:numFmt w:val="lowerLetter"/>
      <w:lvlText w:val="%8."/>
      <w:lvlJc w:val="left"/>
      <w:pPr>
        <w:ind w:left="5760" w:hanging="360"/>
      </w:pPr>
    </w:lvl>
    <w:lvl w:ilvl="8" w:tplc="D0CEF39A" w:tentative="1">
      <w:start w:val="1"/>
      <w:numFmt w:val="lowerRoman"/>
      <w:lvlText w:val="%9."/>
      <w:lvlJc w:val="right"/>
      <w:pPr>
        <w:ind w:left="6480" w:hanging="180"/>
      </w:pPr>
    </w:lvl>
  </w:abstractNum>
  <w:abstractNum w:abstractNumId="30">
    <w:nsid w:val="6A080286"/>
    <w:multiLevelType w:val="hybridMultilevel"/>
    <w:tmpl w:val="C7A6BA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2091FCE"/>
    <w:multiLevelType w:val="hybridMultilevel"/>
    <w:tmpl w:val="3612CD84"/>
    <w:lvl w:ilvl="0" w:tplc="580676B0">
      <w:start w:val="1"/>
      <w:numFmt w:val="decimal"/>
      <w:lvlText w:val="%1)"/>
      <w:lvlJc w:val="left"/>
      <w:pPr>
        <w:ind w:left="720" w:hanging="360"/>
      </w:pPr>
    </w:lvl>
    <w:lvl w:ilvl="1" w:tplc="9D3A4312" w:tentative="1">
      <w:start w:val="1"/>
      <w:numFmt w:val="lowerLetter"/>
      <w:lvlText w:val="%2."/>
      <w:lvlJc w:val="left"/>
      <w:pPr>
        <w:ind w:left="1440" w:hanging="360"/>
      </w:pPr>
    </w:lvl>
    <w:lvl w:ilvl="2" w:tplc="69E28602" w:tentative="1">
      <w:start w:val="1"/>
      <w:numFmt w:val="lowerRoman"/>
      <w:lvlText w:val="%3."/>
      <w:lvlJc w:val="right"/>
      <w:pPr>
        <w:ind w:left="2160" w:hanging="180"/>
      </w:pPr>
    </w:lvl>
    <w:lvl w:ilvl="3" w:tplc="9E66593A" w:tentative="1">
      <w:start w:val="1"/>
      <w:numFmt w:val="decimal"/>
      <w:lvlText w:val="%4."/>
      <w:lvlJc w:val="left"/>
      <w:pPr>
        <w:ind w:left="2880" w:hanging="360"/>
      </w:pPr>
    </w:lvl>
    <w:lvl w:ilvl="4" w:tplc="6F60237C" w:tentative="1">
      <w:start w:val="1"/>
      <w:numFmt w:val="lowerLetter"/>
      <w:lvlText w:val="%5."/>
      <w:lvlJc w:val="left"/>
      <w:pPr>
        <w:ind w:left="3600" w:hanging="360"/>
      </w:pPr>
    </w:lvl>
    <w:lvl w:ilvl="5" w:tplc="B7247DAA" w:tentative="1">
      <w:start w:val="1"/>
      <w:numFmt w:val="lowerRoman"/>
      <w:lvlText w:val="%6."/>
      <w:lvlJc w:val="right"/>
      <w:pPr>
        <w:ind w:left="4320" w:hanging="180"/>
      </w:pPr>
    </w:lvl>
    <w:lvl w:ilvl="6" w:tplc="6DE8E336" w:tentative="1">
      <w:start w:val="1"/>
      <w:numFmt w:val="decimal"/>
      <w:lvlText w:val="%7."/>
      <w:lvlJc w:val="left"/>
      <w:pPr>
        <w:ind w:left="5040" w:hanging="360"/>
      </w:pPr>
    </w:lvl>
    <w:lvl w:ilvl="7" w:tplc="41EA4044" w:tentative="1">
      <w:start w:val="1"/>
      <w:numFmt w:val="lowerLetter"/>
      <w:lvlText w:val="%8."/>
      <w:lvlJc w:val="left"/>
      <w:pPr>
        <w:ind w:left="5760" w:hanging="360"/>
      </w:pPr>
    </w:lvl>
    <w:lvl w:ilvl="8" w:tplc="04048A88" w:tentative="1">
      <w:start w:val="1"/>
      <w:numFmt w:val="lowerRoman"/>
      <w:lvlText w:val="%9."/>
      <w:lvlJc w:val="right"/>
      <w:pPr>
        <w:ind w:left="6480" w:hanging="180"/>
      </w:pPr>
    </w:lvl>
  </w:abstractNum>
  <w:abstractNum w:abstractNumId="32">
    <w:nsid w:val="729E68BF"/>
    <w:multiLevelType w:val="hybridMultilevel"/>
    <w:tmpl w:val="1988D588"/>
    <w:lvl w:ilvl="0" w:tplc="E85EDB68">
      <w:start w:val="4"/>
      <w:numFmt w:val="bullet"/>
      <w:lvlText w:val="-"/>
      <w:lvlJc w:val="left"/>
      <w:pPr>
        <w:ind w:left="720" w:hanging="360"/>
      </w:pPr>
      <w:rPr>
        <w:rFonts w:ascii="Arial" w:eastAsiaTheme="minorHAnsi" w:hAnsi="Arial" w:cs="Arial" w:hint="default"/>
      </w:rPr>
    </w:lvl>
    <w:lvl w:ilvl="1" w:tplc="D2221086" w:tentative="1">
      <w:start w:val="1"/>
      <w:numFmt w:val="bullet"/>
      <w:lvlText w:val="o"/>
      <w:lvlJc w:val="left"/>
      <w:pPr>
        <w:ind w:left="1440" w:hanging="360"/>
      </w:pPr>
      <w:rPr>
        <w:rFonts w:ascii="Courier New" w:hAnsi="Courier New" w:cs="Courier New" w:hint="default"/>
      </w:rPr>
    </w:lvl>
    <w:lvl w:ilvl="2" w:tplc="59A8D500" w:tentative="1">
      <w:start w:val="1"/>
      <w:numFmt w:val="bullet"/>
      <w:lvlText w:val=""/>
      <w:lvlJc w:val="left"/>
      <w:pPr>
        <w:ind w:left="2160" w:hanging="360"/>
      </w:pPr>
      <w:rPr>
        <w:rFonts w:ascii="Wingdings" w:hAnsi="Wingdings" w:hint="default"/>
      </w:rPr>
    </w:lvl>
    <w:lvl w:ilvl="3" w:tplc="1F822D38" w:tentative="1">
      <w:start w:val="1"/>
      <w:numFmt w:val="bullet"/>
      <w:lvlText w:val=""/>
      <w:lvlJc w:val="left"/>
      <w:pPr>
        <w:ind w:left="2880" w:hanging="360"/>
      </w:pPr>
      <w:rPr>
        <w:rFonts w:ascii="Symbol" w:hAnsi="Symbol" w:hint="default"/>
      </w:rPr>
    </w:lvl>
    <w:lvl w:ilvl="4" w:tplc="331AEDF2" w:tentative="1">
      <w:start w:val="1"/>
      <w:numFmt w:val="bullet"/>
      <w:lvlText w:val="o"/>
      <w:lvlJc w:val="left"/>
      <w:pPr>
        <w:ind w:left="3600" w:hanging="360"/>
      </w:pPr>
      <w:rPr>
        <w:rFonts w:ascii="Courier New" w:hAnsi="Courier New" w:cs="Courier New" w:hint="default"/>
      </w:rPr>
    </w:lvl>
    <w:lvl w:ilvl="5" w:tplc="1034F4BA" w:tentative="1">
      <w:start w:val="1"/>
      <w:numFmt w:val="bullet"/>
      <w:lvlText w:val=""/>
      <w:lvlJc w:val="left"/>
      <w:pPr>
        <w:ind w:left="4320" w:hanging="360"/>
      </w:pPr>
      <w:rPr>
        <w:rFonts w:ascii="Wingdings" w:hAnsi="Wingdings" w:hint="default"/>
      </w:rPr>
    </w:lvl>
    <w:lvl w:ilvl="6" w:tplc="2016509C" w:tentative="1">
      <w:start w:val="1"/>
      <w:numFmt w:val="bullet"/>
      <w:lvlText w:val=""/>
      <w:lvlJc w:val="left"/>
      <w:pPr>
        <w:ind w:left="5040" w:hanging="360"/>
      </w:pPr>
      <w:rPr>
        <w:rFonts w:ascii="Symbol" w:hAnsi="Symbol" w:hint="default"/>
      </w:rPr>
    </w:lvl>
    <w:lvl w:ilvl="7" w:tplc="FCA4D0CE" w:tentative="1">
      <w:start w:val="1"/>
      <w:numFmt w:val="bullet"/>
      <w:lvlText w:val="o"/>
      <w:lvlJc w:val="left"/>
      <w:pPr>
        <w:ind w:left="5760" w:hanging="360"/>
      </w:pPr>
      <w:rPr>
        <w:rFonts w:ascii="Courier New" w:hAnsi="Courier New" w:cs="Courier New" w:hint="default"/>
      </w:rPr>
    </w:lvl>
    <w:lvl w:ilvl="8" w:tplc="1C1E070C" w:tentative="1">
      <w:start w:val="1"/>
      <w:numFmt w:val="bullet"/>
      <w:lvlText w:val=""/>
      <w:lvlJc w:val="left"/>
      <w:pPr>
        <w:ind w:left="6480" w:hanging="360"/>
      </w:pPr>
      <w:rPr>
        <w:rFonts w:ascii="Wingdings" w:hAnsi="Wingdings" w:hint="default"/>
      </w:rPr>
    </w:lvl>
  </w:abstractNum>
  <w:abstractNum w:abstractNumId="33">
    <w:nsid w:val="772D532F"/>
    <w:multiLevelType w:val="hybridMultilevel"/>
    <w:tmpl w:val="4724B1D0"/>
    <w:lvl w:ilvl="0" w:tplc="BBBA7A96">
      <w:start w:val="1"/>
      <w:numFmt w:val="decimal"/>
      <w:lvlText w:val="%1."/>
      <w:lvlJc w:val="left"/>
      <w:pPr>
        <w:ind w:left="720" w:hanging="360"/>
      </w:pPr>
    </w:lvl>
    <w:lvl w:ilvl="1" w:tplc="48A65876" w:tentative="1">
      <w:start w:val="1"/>
      <w:numFmt w:val="lowerLetter"/>
      <w:lvlText w:val="%2."/>
      <w:lvlJc w:val="left"/>
      <w:pPr>
        <w:ind w:left="1440" w:hanging="360"/>
      </w:pPr>
    </w:lvl>
    <w:lvl w:ilvl="2" w:tplc="FBC8BBC0" w:tentative="1">
      <w:start w:val="1"/>
      <w:numFmt w:val="lowerRoman"/>
      <w:lvlText w:val="%3."/>
      <w:lvlJc w:val="right"/>
      <w:pPr>
        <w:ind w:left="2160" w:hanging="180"/>
      </w:pPr>
    </w:lvl>
    <w:lvl w:ilvl="3" w:tplc="4E6AC8A6" w:tentative="1">
      <w:start w:val="1"/>
      <w:numFmt w:val="decimal"/>
      <w:lvlText w:val="%4."/>
      <w:lvlJc w:val="left"/>
      <w:pPr>
        <w:ind w:left="2880" w:hanging="360"/>
      </w:pPr>
    </w:lvl>
    <w:lvl w:ilvl="4" w:tplc="1E88B576" w:tentative="1">
      <w:start w:val="1"/>
      <w:numFmt w:val="lowerLetter"/>
      <w:lvlText w:val="%5."/>
      <w:lvlJc w:val="left"/>
      <w:pPr>
        <w:ind w:left="3600" w:hanging="360"/>
      </w:pPr>
    </w:lvl>
    <w:lvl w:ilvl="5" w:tplc="02A0EFFA" w:tentative="1">
      <w:start w:val="1"/>
      <w:numFmt w:val="lowerRoman"/>
      <w:lvlText w:val="%6."/>
      <w:lvlJc w:val="right"/>
      <w:pPr>
        <w:ind w:left="4320" w:hanging="180"/>
      </w:pPr>
    </w:lvl>
    <w:lvl w:ilvl="6" w:tplc="ED8A7ED4" w:tentative="1">
      <w:start w:val="1"/>
      <w:numFmt w:val="decimal"/>
      <w:lvlText w:val="%7."/>
      <w:lvlJc w:val="left"/>
      <w:pPr>
        <w:ind w:left="5040" w:hanging="360"/>
      </w:pPr>
    </w:lvl>
    <w:lvl w:ilvl="7" w:tplc="250CB134" w:tentative="1">
      <w:start w:val="1"/>
      <w:numFmt w:val="lowerLetter"/>
      <w:lvlText w:val="%8."/>
      <w:lvlJc w:val="left"/>
      <w:pPr>
        <w:ind w:left="5760" w:hanging="360"/>
      </w:pPr>
    </w:lvl>
    <w:lvl w:ilvl="8" w:tplc="88E41EFE" w:tentative="1">
      <w:start w:val="1"/>
      <w:numFmt w:val="lowerRoman"/>
      <w:lvlText w:val="%9."/>
      <w:lvlJc w:val="right"/>
      <w:pPr>
        <w:ind w:left="6480" w:hanging="180"/>
      </w:pPr>
    </w:lvl>
  </w:abstractNum>
  <w:abstractNum w:abstractNumId="34">
    <w:nsid w:val="77CA5528"/>
    <w:multiLevelType w:val="hybridMultilevel"/>
    <w:tmpl w:val="389AF3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9755BF7"/>
    <w:multiLevelType w:val="hybridMultilevel"/>
    <w:tmpl w:val="D10406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CC2022F"/>
    <w:multiLevelType w:val="hybridMultilevel"/>
    <w:tmpl w:val="DCDC7DA4"/>
    <w:lvl w:ilvl="0" w:tplc="8E34D57C">
      <w:start w:val="1"/>
      <w:numFmt w:val="decimal"/>
      <w:lvlText w:val="%1-"/>
      <w:lvlJc w:val="left"/>
      <w:pPr>
        <w:ind w:left="720" w:hanging="360"/>
      </w:pPr>
      <w:rPr>
        <w:rFonts w:hint="default"/>
      </w:rPr>
    </w:lvl>
    <w:lvl w:ilvl="1" w:tplc="6EE4C066" w:tentative="1">
      <w:start w:val="1"/>
      <w:numFmt w:val="lowerLetter"/>
      <w:lvlText w:val="%2."/>
      <w:lvlJc w:val="left"/>
      <w:pPr>
        <w:ind w:left="1440" w:hanging="360"/>
      </w:pPr>
    </w:lvl>
    <w:lvl w:ilvl="2" w:tplc="9A3C6930" w:tentative="1">
      <w:start w:val="1"/>
      <w:numFmt w:val="lowerRoman"/>
      <w:lvlText w:val="%3."/>
      <w:lvlJc w:val="right"/>
      <w:pPr>
        <w:ind w:left="2160" w:hanging="180"/>
      </w:pPr>
    </w:lvl>
    <w:lvl w:ilvl="3" w:tplc="F1DAD4CA" w:tentative="1">
      <w:start w:val="1"/>
      <w:numFmt w:val="decimal"/>
      <w:lvlText w:val="%4."/>
      <w:lvlJc w:val="left"/>
      <w:pPr>
        <w:ind w:left="2880" w:hanging="360"/>
      </w:pPr>
    </w:lvl>
    <w:lvl w:ilvl="4" w:tplc="DD742790" w:tentative="1">
      <w:start w:val="1"/>
      <w:numFmt w:val="lowerLetter"/>
      <w:lvlText w:val="%5."/>
      <w:lvlJc w:val="left"/>
      <w:pPr>
        <w:ind w:left="3600" w:hanging="360"/>
      </w:pPr>
    </w:lvl>
    <w:lvl w:ilvl="5" w:tplc="42D69356" w:tentative="1">
      <w:start w:val="1"/>
      <w:numFmt w:val="lowerRoman"/>
      <w:lvlText w:val="%6."/>
      <w:lvlJc w:val="right"/>
      <w:pPr>
        <w:ind w:left="4320" w:hanging="180"/>
      </w:pPr>
    </w:lvl>
    <w:lvl w:ilvl="6" w:tplc="D9CAB978" w:tentative="1">
      <w:start w:val="1"/>
      <w:numFmt w:val="decimal"/>
      <w:lvlText w:val="%7."/>
      <w:lvlJc w:val="left"/>
      <w:pPr>
        <w:ind w:left="5040" w:hanging="360"/>
      </w:pPr>
    </w:lvl>
    <w:lvl w:ilvl="7" w:tplc="B99ADAEC" w:tentative="1">
      <w:start w:val="1"/>
      <w:numFmt w:val="lowerLetter"/>
      <w:lvlText w:val="%8."/>
      <w:lvlJc w:val="left"/>
      <w:pPr>
        <w:ind w:left="5760" w:hanging="360"/>
      </w:pPr>
    </w:lvl>
    <w:lvl w:ilvl="8" w:tplc="4EAC9BD2" w:tentative="1">
      <w:start w:val="1"/>
      <w:numFmt w:val="lowerRoman"/>
      <w:lvlText w:val="%9."/>
      <w:lvlJc w:val="right"/>
      <w:pPr>
        <w:ind w:left="6480" w:hanging="180"/>
      </w:pPr>
    </w:lvl>
  </w:abstractNum>
  <w:abstractNum w:abstractNumId="37">
    <w:nsid w:val="7EBC53A9"/>
    <w:multiLevelType w:val="hybridMultilevel"/>
    <w:tmpl w:val="7B5CD5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F0C50EC"/>
    <w:multiLevelType w:val="hybridMultilevel"/>
    <w:tmpl w:val="B0CC1D3A"/>
    <w:lvl w:ilvl="0" w:tplc="A0AC7F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5"/>
  </w:num>
  <w:num w:numId="3">
    <w:abstractNumId w:val="9"/>
  </w:num>
  <w:num w:numId="4">
    <w:abstractNumId w:val="23"/>
  </w:num>
  <w:num w:numId="5">
    <w:abstractNumId w:val="8"/>
  </w:num>
  <w:num w:numId="6">
    <w:abstractNumId w:val="10"/>
  </w:num>
  <w:num w:numId="7">
    <w:abstractNumId w:val="4"/>
  </w:num>
  <w:num w:numId="8">
    <w:abstractNumId w:val="36"/>
  </w:num>
  <w:num w:numId="9">
    <w:abstractNumId w:val="0"/>
  </w:num>
  <w:num w:numId="10">
    <w:abstractNumId w:val="32"/>
  </w:num>
  <w:num w:numId="11">
    <w:abstractNumId w:val="24"/>
  </w:num>
  <w:num w:numId="12">
    <w:abstractNumId w:val="16"/>
  </w:num>
  <w:num w:numId="13">
    <w:abstractNumId w:val="33"/>
  </w:num>
  <w:num w:numId="14">
    <w:abstractNumId w:val="31"/>
  </w:num>
  <w:num w:numId="15">
    <w:abstractNumId w:val="29"/>
  </w:num>
  <w:num w:numId="16">
    <w:abstractNumId w:val="19"/>
  </w:num>
  <w:num w:numId="17">
    <w:abstractNumId w:val="12"/>
  </w:num>
  <w:num w:numId="18">
    <w:abstractNumId w:val="17"/>
  </w:num>
  <w:num w:numId="19">
    <w:abstractNumId w:val="13"/>
  </w:num>
  <w:num w:numId="20">
    <w:abstractNumId w:val="25"/>
  </w:num>
  <w:num w:numId="21">
    <w:abstractNumId w:val="11"/>
  </w:num>
  <w:num w:numId="22">
    <w:abstractNumId w:val="18"/>
  </w:num>
  <w:num w:numId="23">
    <w:abstractNumId w:val="5"/>
  </w:num>
  <w:num w:numId="24">
    <w:abstractNumId w:val="20"/>
  </w:num>
  <w:num w:numId="25">
    <w:abstractNumId w:val="21"/>
  </w:num>
  <w:num w:numId="26">
    <w:abstractNumId w:val="3"/>
  </w:num>
  <w:num w:numId="27">
    <w:abstractNumId w:val="28"/>
  </w:num>
  <w:num w:numId="28">
    <w:abstractNumId w:val="14"/>
  </w:num>
  <w:num w:numId="29">
    <w:abstractNumId w:val="2"/>
  </w:num>
  <w:num w:numId="30">
    <w:abstractNumId w:val="1"/>
  </w:num>
  <w:num w:numId="31">
    <w:abstractNumId w:val="27"/>
  </w:num>
  <w:num w:numId="32">
    <w:abstractNumId w:val="38"/>
  </w:num>
  <w:num w:numId="33">
    <w:abstractNumId w:val="34"/>
  </w:num>
  <w:num w:numId="34">
    <w:abstractNumId w:val="22"/>
  </w:num>
  <w:num w:numId="35">
    <w:abstractNumId w:val="26"/>
  </w:num>
  <w:num w:numId="36">
    <w:abstractNumId w:val="37"/>
  </w:num>
  <w:num w:numId="37">
    <w:abstractNumId w:val="30"/>
  </w:num>
  <w:num w:numId="38">
    <w:abstractNumId w:val="7"/>
  </w:num>
  <w:num w:numId="39">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drawingGridHorizontalSpacing w:val="120"/>
  <w:displayHorizontalDrawingGridEvery w:val="2"/>
  <w:displayVerticalDrawingGridEvery w:val="2"/>
  <w:characterSpacingControl w:val="doNotCompress"/>
  <w:savePreviewPicture/>
  <w:hdrShapeDefaults>
    <o:shapedefaults v:ext="edit" spidmax="14338"/>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sDQ0NQNSRmYGlpbG5ko6SsGpxcWZ+XkgBYa1ADHa1AYsAAAA"/>
  </w:docVars>
  <w:rsids>
    <w:rsidRoot w:val="00E3061E"/>
    <w:rsid w:val="0000070E"/>
    <w:rsid w:val="0000159C"/>
    <w:rsid w:val="00001D7C"/>
    <w:rsid w:val="00002085"/>
    <w:rsid w:val="00002CC3"/>
    <w:rsid w:val="00006404"/>
    <w:rsid w:val="00006865"/>
    <w:rsid w:val="000072EA"/>
    <w:rsid w:val="00007661"/>
    <w:rsid w:val="000100E9"/>
    <w:rsid w:val="00010BAB"/>
    <w:rsid w:val="000117BA"/>
    <w:rsid w:val="000132C5"/>
    <w:rsid w:val="00013E06"/>
    <w:rsid w:val="00014AD2"/>
    <w:rsid w:val="000158E8"/>
    <w:rsid w:val="000201FE"/>
    <w:rsid w:val="00023039"/>
    <w:rsid w:val="00023199"/>
    <w:rsid w:val="000232A4"/>
    <w:rsid w:val="00023620"/>
    <w:rsid w:val="00023C9B"/>
    <w:rsid w:val="00024FDF"/>
    <w:rsid w:val="00025818"/>
    <w:rsid w:val="00026A63"/>
    <w:rsid w:val="00026D04"/>
    <w:rsid w:val="00030324"/>
    <w:rsid w:val="00031AB4"/>
    <w:rsid w:val="00032950"/>
    <w:rsid w:val="000333A9"/>
    <w:rsid w:val="000349EA"/>
    <w:rsid w:val="00035ED1"/>
    <w:rsid w:val="0003720E"/>
    <w:rsid w:val="000378BC"/>
    <w:rsid w:val="00037D12"/>
    <w:rsid w:val="000406A1"/>
    <w:rsid w:val="00040DC1"/>
    <w:rsid w:val="00041DB1"/>
    <w:rsid w:val="00042450"/>
    <w:rsid w:val="00043CB1"/>
    <w:rsid w:val="00043CCE"/>
    <w:rsid w:val="00044799"/>
    <w:rsid w:val="000448E3"/>
    <w:rsid w:val="00045757"/>
    <w:rsid w:val="000463F6"/>
    <w:rsid w:val="000470B0"/>
    <w:rsid w:val="00053452"/>
    <w:rsid w:val="00053D08"/>
    <w:rsid w:val="00060D72"/>
    <w:rsid w:val="000620E0"/>
    <w:rsid w:val="0006261A"/>
    <w:rsid w:val="00063FC7"/>
    <w:rsid w:val="00066B3D"/>
    <w:rsid w:val="000671E9"/>
    <w:rsid w:val="00067C5D"/>
    <w:rsid w:val="00067EBB"/>
    <w:rsid w:val="00071463"/>
    <w:rsid w:val="000715B5"/>
    <w:rsid w:val="00072C8D"/>
    <w:rsid w:val="00073EC5"/>
    <w:rsid w:val="000740C9"/>
    <w:rsid w:val="000753D8"/>
    <w:rsid w:val="00076A86"/>
    <w:rsid w:val="00076D3D"/>
    <w:rsid w:val="00077D32"/>
    <w:rsid w:val="00081534"/>
    <w:rsid w:val="000825C0"/>
    <w:rsid w:val="00091236"/>
    <w:rsid w:val="000931FF"/>
    <w:rsid w:val="00093F41"/>
    <w:rsid w:val="000942CD"/>
    <w:rsid w:val="000965E7"/>
    <w:rsid w:val="0009774A"/>
    <w:rsid w:val="00097C41"/>
    <w:rsid w:val="000A1A2A"/>
    <w:rsid w:val="000A3E0E"/>
    <w:rsid w:val="000A58B6"/>
    <w:rsid w:val="000A66BF"/>
    <w:rsid w:val="000A69D3"/>
    <w:rsid w:val="000A6F5F"/>
    <w:rsid w:val="000A7032"/>
    <w:rsid w:val="000A76F9"/>
    <w:rsid w:val="000B25B7"/>
    <w:rsid w:val="000B2822"/>
    <w:rsid w:val="000B36A0"/>
    <w:rsid w:val="000B37A0"/>
    <w:rsid w:val="000B3CD1"/>
    <w:rsid w:val="000B42F2"/>
    <w:rsid w:val="000B5794"/>
    <w:rsid w:val="000B5B8C"/>
    <w:rsid w:val="000C0F7B"/>
    <w:rsid w:val="000C1567"/>
    <w:rsid w:val="000C1728"/>
    <w:rsid w:val="000C248D"/>
    <w:rsid w:val="000C252C"/>
    <w:rsid w:val="000C262C"/>
    <w:rsid w:val="000C37F0"/>
    <w:rsid w:val="000C4584"/>
    <w:rsid w:val="000C4DCD"/>
    <w:rsid w:val="000C4FF3"/>
    <w:rsid w:val="000C5209"/>
    <w:rsid w:val="000C701B"/>
    <w:rsid w:val="000D0C73"/>
    <w:rsid w:val="000D1997"/>
    <w:rsid w:val="000D22B7"/>
    <w:rsid w:val="000D367E"/>
    <w:rsid w:val="000D369E"/>
    <w:rsid w:val="000D3CB7"/>
    <w:rsid w:val="000D3F15"/>
    <w:rsid w:val="000D4577"/>
    <w:rsid w:val="000D736F"/>
    <w:rsid w:val="000D7878"/>
    <w:rsid w:val="000D7DDC"/>
    <w:rsid w:val="000E388B"/>
    <w:rsid w:val="000E3B22"/>
    <w:rsid w:val="000E4650"/>
    <w:rsid w:val="000E5689"/>
    <w:rsid w:val="000E648C"/>
    <w:rsid w:val="000E7ED8"/>
    <w:rsid w:val="000F036E"/>
    <w:rsid w:val="000F101F"/>
    <w:rsid w:val="000F2157"/>
    <w:rsid w:val="000F29B1"/>
    <w:rsid w:val="000F3F67"/>
    <w:rsid w:val="000F40BF"/>
    <w:rsid w:val="000F4137"/>
    <w:rsid w:val="000F51D5"/>
    <w:rsid w:val="000F660E"/>
    <w:rsid w:val="000F6870"/>
    <w:rsid w:val="00100FBB"/>
    <w:rsid w:val="00103E8B"/>
    <w:rsid w:val="00104E43"/>
    <w:rsid w:val="00106596"/>
    <w:rsid w:val="00106B2C"/>
    <w:rsid w:val="00112EC7"/>
    <w:rsid w:val="001149DC"/>
    <w:rsid w:val="00115007"/>
    <w:rsid w:val="001150A4"/>
    <w:rsid w:val="00115170"/>
    <w:rsid w:val="001151F6"/>
    <w:rsid w:val="00120930"/>
    <w:rsid w:val="00120E12"/>
    <w:rsid w:val="00122D04"/>
    <w:rsid w:val="001231A6"/>
    <w:rsid w:val="001234F1"/>
    <w:rsid w:val="0012447E"/>
    <w:rsid w:val="0012468B"/>
    <w:rsid w:val="001248FE"/>
    <w:rsid w:val="00125244"/>
    <w:rsid w:val="00125FFB"/>
    <w:rsid w:val="00126CE5"/>
    <w:rsid w:val="0013099D"/>
    <w:rsid w:val="001317D9"/>
    <w:rsid w:val="00131B8D"/>
    <w:rsid w:val="00131DA3"/>
    <w:rsid w:val="00132017"/>
    <w:rsid w:val="0013296E"/>
    <w:rsid w:val="00132B79"/>
    <w:rsid w:val="001364EA"/>
    <w:rsid w:val="00136854"/>
    <w:rsid w:val="00137479"/>
    <w:rsid w:val="00137A6F"/>
    <w:rsid w:val="00137CAE"/>
    <w:rsid w:val="001401E2"/>
    <w:rsid w:val="00141700"/>
    <w:rsid w:val="00141E6B"/>
    <w:rsid w:val="00143D3F"/>
    <w:rsid w:val="00143F9A"/>
    <w:rsid w:val="00144DB1"/>
    <w:rsid w:val="001464C5"/>
    <w:rsid w:val="00147337"/>
    <w:rsid w:val="00147401"/>
    <w:rsid w:val="00147BEE"/>
    <w:rsid w:val="001510EF"/>
    <w:rsid w:val="0015169B"/>
    <w:rsid w:val="001516BF"/>
    <w:rsid w:val="00151A2E"/>
    <w:rsid w:val="00152306"/>
    <w:rsid w:val="00152584"/>
    <w:rsid w:val="00152AA5"/>
    <w:rsid w:val="00152E3B"/>
    <w:rsid w:val="00153B70"/>
    <w:rsid w:val="00155A7C"/>
    <w:rsid w:val="00160D98"/>
    <w:rsid w:val="00161334"/>
    <w:rsid w:val="00162CE6"/>
    <w:rsid w:val="00163B96"/>
    <w:rsid w:val="001650F2"/>
    <w:rsid w:val="00165CD9"/>
    <w:rsid w:val="00167DCD"/>
    <w:rsid w:val="001701C7"/>
    <w:rsid w:val="001708C3"/>
    <w:rsid w:val="00171C0D"/>
    <w:rsid w:val="00172814"/>
    <w:rsid w:val="001729C2"/>
    <w:rsid w:val="0017307C"/>
    <w:rsid w:val="00173B7A"/>
    <w:rsid w:val="00173BC4"/>
    <w:rsid w:val="00175CBD"/>
    <w:rsid w:val="00175EE8"/>
    <w:rsid w:val="00176222"/>
    <w:rsid w:val="001767E4"/>
    <w:rsid w:val="0018389F"/>
    <w:rsid w:val="00184EB9"/>
    <w:rsid w:val="001857BE"/>
    <w:rsid w:val="00185C01"/>
    <w:rsid w:val="001875D2"/>
    <w:rsid w:val="00190B34"/>
    <w:rsid w:val="001929AD"/>
    <w:rsid w:val="0019356D"/>
    <w:rsid w:val="00193CB3"/>
    <w:rsid w:val="00193E85"/>
    <w:rsid w:val="00193FD2"/>
    <w:rsid w:val="001946A6"/>
    <w:rsid w:val="00194867"/>
    <w:rsid w:val="00195837"/>
    <w:rsid w:val="001A045D"/>
    <w:rsid w:val="001A0572"/>
    <w:rsid w:val="001A339B"/>
    <w:rsid w:val="001A3A34"/>
    <w:rsid w:val="001A46FA"/>
    <w:rsid w:val="001A5E2F"/>
    <w:rsid w:val="001A6B2D"/>
    <w:rsid w:val="001A796F"/>
    <w:rsid w:val="001B0E6F"/>
    <w:rsid w:val="001B10C7"/>
    <w:rsid w:val="001B34F8"/>
    <w:rsid w:val="001B5133"/>
    <w:rsid w:val="001B5324"/>
    <w:rsid w:val="001B6351"/>
    <w:rsid w:val="001B6432"/>
    <w:rsid w:val="001B64E8"/>
    <w:rsid w:val="001B67CB"/>
    <w:rsid w:val="001B68B7"/>
    <w:rsid w:val="001B7C8E"/>
    <w:rsid w:val="001C079E"/>
    <w:rsid w:val="001C07E6"/>
    <w:rsid w:val="001C08BC"/>
    <w:rsid w:val="001C208E"/>
    <w:rsid w:val="001C224D"/>
    <w:rsid w:val="001C27A7"/>
    <w:rsid w:val="001C30C7"/>
    <w:rsid w:val="001C47E3"/>
    <w:rsid w:val="001C4E27"/>
    <w:rsid w:val="001C5177"/>
    <w:rsid w:val="001C5434"/>
    <w:rsid w:val="001C670B"/>
    <w:rsid w:val="001C727A"/>
    <w:rsid w:val="001D136E"/>
    <w:rsid w:val="001D2364"/>
    <w:rsid w:val="001D359E"/>
    <w:rsid w:val="001D3F0F"/>
    <w:rsid w:val="001D42FD"/>
    <w:rsid w:val="001D5D35"/>
    <w:rsid w:val="001D5ECD"/>
    <w:rsid w:val="001D68BD"/>
    <w:rsid w:val="001E02CD"/>
    <w:rsid w:val="001E0D51"/>
    <w:rsid w:val="001E0F10"/>
    <w:rsid w:val="001E17C1"/>
    <w:rsid w:val="001E3380"/>
    <w:rsid w:val="001E4E84"/>
    <w:rsid w:val="001E53AF"/>
    <w:rsid w:val="001E53D5"/>
    <w:rsid w:val="001E6F2E"/>
    <w:rsid w:val="001E7A65"/>
    <w:rsid w:val="001F088B"/>
    <w:rsid w:val="001F26E0"/>
    <w:rsid w:val="001F2A25"/>
    <w:rsid w:val="001F3356"/>
    <w:rsid w:val="001F3649"/>
    <w:rsid w:val="001F39DD"/>
    <w:rsid w:val="001F61F5"/>
    <w:rsid w:val="001F695E"/>
    <w:rsid w:val="001F7373"/>
    <w:rsid w:val="002003EA"/>
    <w:rsid w:val="00200809"/>
    <w:rsid w:val="00201B4C"/>
    <w:rsid w:val="00201D48"/>
    <w:rsid w:val="0020246F"/>
    <w:rsid w:val="00203085"/>
    <w:rsid w:val="002032E3"/>
    <w:rsid w:val="002047F7"/>
    <w:rsid w:val="00204958"/>
    <w:rsid w:val="00205930"/>
    <w:rsid w:val="00205ABA"/>
    <w:rsid w:val="002066BC"/>
    <w:rsid w:val="002069EC"/>
    <w:rsid w:val="0020758C"/>
    <w:rsid w:val="002077DD"/>
    <w:rsid w:val="00207999"/>
    <w:rsid w:val="00207D17"/>
    <w:rsid w:val="00210437"/>
    <w:rsid w:val="002107E3"/>
    <w:rsid w:val="00210E28"/>
    <w:rsid w:val="002112BC"/>
    <w:rsid w:val="0021298D"/>
    <w:rsid w:val="0021324F"/>
    <w:rsid w:val="00214209"/>
    <w:rsid w:val="00214461"/>
    <w:rsid w:val="002145C3"/>
    <w:rsid w:val="0021506D"/>
    <w:rsid w:val="00215468"/>
    <w:rsid w:val="00215AA6"/>
    <w:rsid w:val="00215B13"/>
    <w:rsid w:val="00216522"/>
    <w:rsid w:val="00220EF8"/>
    <w:rsid w:val="00221482"/>
    <w:rsid w:val="00221543"/>
    <w:rsid w:val="00221C6A"/>
    <w:rsid w:val="00222CE5"/>
    <w:rsid w:val="0022403C"/>
    <w:rsid w:val="00225F33"/>
    <w:rsid w:val="00226659"/>
    <w:rsid w:val="00226FBC"/>
    <w:rsid w:val="002335B5"/>
    <w:rsid w:val="0023555E"/>
    <w:rsid w:val="0023636A"/>
    <w:rsid w:val="002364AD"/>
    <w:rsid w:val="0023655B"/>
    <w:rsid w:val="00237560"/>
    <w:rsid w:val="002378DE"/>
    <w:rsid w:val="00242D17"/>
    <w:rsid w:val="002434BA"/>
    <w:rsid w:val="00243C95"/>
    <w:rsid w:val="0024441F"/>
    <w:rsid w:val="002445FB"/>
    <w:rsid w:val="0024495D"/>
    <w:rsid w:val="00245756"/>
    <w:rsid w:val="00245A3D"/>
    <w:rsid w:val="0024643C"/>
    <w:rsid w:val="0025024D"/>
    <w:rsid w:val="0025233A"/>
    <w:rsid w:val="00252D9C"/>
    <w:rsid w:val="0025428F"/>
    <w:rsid w:val="00255975"/>
    <w:rsid w:val="002566C3"/>
    <w:rsid w:val="002578A2"/>
    <w:rsid w:val="00260D03"/>
    <w:rsid w:val="00262D3D"/>
    <w:rsid w:val="00263BC1"/>
    <w:rsid w:val="002646A7"/>
    <w:rsid w:val="00264F8C"/>
    <w:rsid w:val="00265136"/>
    <w:rsid w:val="002654BF"/>
    <w:rsid w:val="00266929"/>
    <w:rsid w:val="00266A73"/>
    <w:rsid w:val="002678D5"/>
    <w:rsid w:val="002701D8"/>
    <w:rsid w:val="0027045B"/>
    <w:rsid w:val="00271070"/>
    <w:rsid w:val="002724D1"/>
    <w:rsid w:val="00272C21"/>
    <w:rsid w:val="00272EF9"/>
    <w:rsid w:val="0027493B"/>
    <w:rsid w:val="00275391"/>
    <w:rsid w:val="002767D2"/>
    <w:rsid w:val="002802DB"/>
    <w:rsid w:val="0028073C"/>
    <w:rsid w:val="002830C0"/>
    <w:rsid w:val="002836C8"/>
    <w:rsid w:val="002844F1"/>
    <w:rsid w:val="00284C1C"/>
    <w:rsid w:val="0028515B"/>
    <w:rsid w:val="00285232"/>
    <w:rsid w:val="00286E82"/>
    <w:rsid w:val="00291199"/>
    <w:rsid w:val="00291EBD"/>
    <w:rsid w:val="00292243"/>
    <w:rsid w:val="0029308D"/>
    <w:rsid w:val="00294469"/>
    <w:rsid w:val="002945E3"/>
    <w:rsid w:val="002955BD"/>
    <w:rsid w:val="00295714"/>
    <w:rsid w:val="002958A5"/>
    <w:rsid w:val="00296643"/>
    <w:rsid w:val="002967FC"/>
    <w:rsid w:val="00297CB1"/>
    <w:rsid w:val="00297FFD"/>
    <w:rsid w:val="002A23C0"/>
    <w:rsid w:val="002A323B"/>
    <w:rsid w:val="002A3352"/>
    <w:rsid w:val="002A5A7F"/>
    <w:rsid w:val="002A5C63"/>
    <w:rsid w:val="002A5D30"/>
    <w:rsid w:val="002A635F"/>
    <w:rsid w:val="002A6FDD"/>
    <w:rsid w:val="002B01AD"/>
    <w:rsid w:val="002B2195"/>
    <w:rsid w:val="002B3D33"/>
    <w:rsid w:val="002B47F9"/>
    <w:rsid w:val="002B5A00"/>
    <w:rsid w:val="002B6E9C"/>
    <w:rsid w:val="002C0BB4"/>
    <w:rsid w:val="002C408D"/>
    <w:rsid w:val="002C42A1"/>
    <w:rsid w:val="002C4F3C"/>
    <w:rsid w:val="002C692F"/>
    <w:rsid w:val="002C6AA4"/>
    <w:rsid w:val="002C7C5B"/>
    <w:rsid w:val="002D0589"/>
    <w:rsid w:val="002D0B75"/>
    <w:rsid w:val="002D2C9A"/>
    <w:rsid w:val="002D2F39"/>
    <w:rsid w:val="002D3215"/>
    <w:rsid w:val="002D3AFB"/>
    <w:rsid w:val="002D45F5"/>
    <w:rsid w:val="002D4773"/>
    <w:rsid w:val="002D52A4"/>
    <w:rsid w:val="002D7659"/>
    <w:rsid w:val="002E053B"/>
    <w:rsid w:val="002E30D9"/>
    <w:rsid w:val="002E36EF"/>
    <w:rsid w:val="002E4A8C"/>
    <w:rsid w:val="002E59AD"/>
    <w:rsid w:val="002E5DC8"/>
    <w:rsid w:val="002E5E65"/>
    <w:rsid w:val="002E6605"/>
    <w:rsid w:val="002E7826"/>
    <w:rsid w:val="002E7D43"/>
    <w:rsid w:val="002F033E"/>
    <w:rsid w:val="002F11F7"/>
    <w:rsid w:val="002F18F1"/>
    <w:rsid w:val="002F1FF8"/>
    <w:rsid w:val="002F2745"/>
    <w:rsid w:val="002F2C2C"/>
    <w:rsid w:val="002F4E84"/>
    <w:rsid w:val="002F5016"/>
    <w:rsid w:val="002F5543"/>
    <w:rsid w:val="002F5D98"/>
    <w:rsid w:val="002F63DC"/>
    <w:rsid w:val="002F6D90"/>
    <w:rsid w:val="002F6D99"/>
    <w:rsid w:val="002F7648"/>
    <w:rsid w:val="00300034"/>
    <w:rsid w:val="0030076D"/>
    <w:rsid w:val="00300F57"/>
    <w:rsid w:val="00301166"/>
    <w:rsid w:val="003012CF"/>
    <w:rsid w:val="00301680"/>
    <w:rsid w:val="00301783"/>
    <w:rsid w:val="00301D37"/>
    <w:rsid w:val="00301D8D"/>
    <w:rsid w:val="00301F04"/>
    <w:rsid w:val="00302013"/>
    <w:rsid w:val="003025BF"/>
    <w:rsid w:val="00302A95"/>
    <w:rsid w:val="00302CA3"/>
    <w:rsid w:val="00304139"/>
    <w:rsid w:val="00305C80"/>
    <w:rsid w:val="003069EA"/>
    <w:rsid w:val="00307891"/>
    <w:rsid w:val="003101AC"/>
    <w:rsid w:val="0031168F"/>
    <w:rsid w:val="00312916"/>
    <w:rsid w:val="00314410"/>
    <w:rsid w:val="00314B7E"/>
    <w:rsid w:val="00315595"/>
    <w:rsid w:val="00315942"/>
    <w:rsid w:val="00316774"/>
    <w:rsid w:val="0031767F"/>
    <w:rsid w:val="003219D9"/>
    <w:rsid w:val="00321DAA"/>
    <w:rsid w:val="00322E24"/>
    <w:rsid w:val="00323108"/>
    <w:rsid w:val="00323527"/>
    <w:rsid w:val="00323839"/>
    <w:rsid w:val="00324B45"/>
    <w:rsid w:val="00325715"/>
    <w:rsid w:val="0032572E"/>
    <w:rsid w:val="00325A97"/>
    <w:rsid w:val="00330B24"/>
    <w:rsid w:val="00330DCD"/>
    <w:rsid w:val="00332FBE"/>
    <w:rsid w:val="00333CD6"/>
    <w:rsid w:val="003343DC"/>
    <w:rsid w:val="00334A3C"/>
    <w:rsid w:val="00335740"/>
    <w:rsid w:val="00341501"/>
    <w:rsid w:val="0034180A"/>
    <w:rsid w:val="00342BEC"/>
    <w:rsid w:val="003439C6"/>
    <w:rsid w:val="00343E4B"/>
    <w:rsid w:val="00344CB0"/>
    <w:rsid w:val="0034564C"/>
    <w:rsid w:val="0034644F"/>
    <w:rsid w:val="00347909"/>
    <w:rsid w:val="00352A2D"/>
    <w:rsid w:val="00353630"/>
    <w:rsid w:val="003537EF"/>
    <w:rsid w:val="00355C84"/>
    <w:rsid w:val="0035647E"/>
    <w:rsid w:val="003577B7"/>
    <w:rsid w:val="00363DF2"/>
    <w:rsid w:val="00364ABD"/>
    <w:rsid w:val="00365E92"/>
    <w:rsid w:val="00366008"/>
    <w:rsid w:val="00370922"/>
    <w:rsid w:val="00371A60"/>
    <w:rsid w:val="00371DD0"/>
    <w:rsid w:val="003729DA"/>
    <w:rsid w:val="00373157"/>
    <w:rsid w:val="0037319C"/>
    <w:rsid w:val="003739DB"/>
    <w:rsid w:val="00373DA4"/>
    <w:rsid w:val="0037435F"/>
    <w:rsid w:val="00374561"/>
    <w:rsid w:val="003747C2"/>
    <w:rsid w:val="00376016"/>
    <w:rsid w:val="00377C10"/>
    <w:rsid w:val="00377D84"/>
    <w:rsid w:val="00377E11"/>
    <w:rsid w:val="00380CDB"/>
    <w:rsid w:val="00381A5C"/>
    <w:rsid w:val="00381E5D"/>
    <w:rsid w:val="003848A4"/>
    <w:rsid w:val="00384D58"/>
    <w:rsid w:val="00385575"/>
    <w:rsid w:val="00386287"/>
    <w:rsid w:val="00387145"/>
    <w:rsid w:val="00387166"/>
    <w:rsid w:val="00392294"/>
    <w:rsid w:val="0039307B"/>
    <w:rsid w:val="00395FF3"/>
    <w:rsid w:val="003969F2"/>
    <w:rsid w:val="0039734E"/>
    <w:rsid w:val="00397758"/>
    <w:rsid w:val="003A07BA"/>
    <w:rsid w:val="003A1EE6"/>
    <w:rsid w:val="003A2C9D"/>
    <w:rsid w:val="003A3307"/>
    <w:rsid w:val="003A454F"/>
    <w:rsid w:val="003A4AAD"/>
    <w:rsid w:val="003A50D3"/>
    <w:rsid w:val="003A5366"/>
    <w:rsid w:val="003A6038"/>
    <w:rsid w:val="003B06D7"/>
    <w:rsid w:val="003B11FC"/>
    <w:rsid w:val="003B335C"/>
    <w:rsid w:val="003B35C9"/>
    <w:rsid w:val="003B53AA"/>
    <w:rsid w:val="003B5737"/>
    <w:rsid w:val="003B6073"/>
    <w:rsid w:val="003B7F6A"/>
    <w:rsid w:val="003C19AB"/>
    <w:rsid w:val="003C3267"/>
    <w:rsid w:val="003C4034"/>
    <w:rsid w:val="003C6D10"/>
    <w:rsid w:val="003D0778"/>
    <w:rsid w:val="003D0B98"/>
    <w:rsid w:val="003D295A"/>
    <w:rsid w:val="003D2993"/>
    <w:rsid w:val="003D3EFB"/>
    <w:rsid w:val="003D4DF3"/>
    <w:rsid w:val="003D503A"/>
    <w:rsid w:val="003E0166"/>
    <w:rsid w:val="003E0990"/>
    <w:rsid w:val="003E09F9"/>
    <w:rsid w:val="003E1AB8"/>
    <w:rsid w:val="003E1BC8"/>
    <w:rsid w:val="003E3D53"/>
    <w:rsid w:val="003E5CFA"/>
    <w:rsid w:val="003E72DA"/>
    <w:rsid w:val="003F2492"/>
    <w:rsid w:val="003F2C04"/>
    <w:rsid w:val="003F3E20"/>
    <w:rsid w:val="003F7195"/>
    <w:rsid w:val="003F79EF"/>
    <w:rsid w:val="00400CB6"/>
    <w:rsid w:val="004010B2"/>
    <w:rsid w:val="00403284"/>
    <w:rsid w:val="00403952"/>
    <w:rsid w:val="0040662D"/>
    <w:rsid w:val="00406E41"/>
    <w:rsid w:val="00407AED"/>
    <w:rsid w:val="004108B7"/>
    <w:rsid w:val="004111CC"/>
    <w:rsid w:val="00411782"/>
    <w:rsid w:val="00412C47"/>
    <w:rsid w:val="004155FB"/>
    <w:rsid w:val="00416200"/>
    <w:rsid w:val="004163E2"/>
    <w:rsid w:val="00420520"/>
    <w:rsid w:val="0042468F"/>
    <w:rsid w:val="004303B7"/>
    <w:rsid w:val="00432850"/>
    <w:rsid w:val="0043293F"/>
    <w:rsid w:val="004341B4"/>
    <w:rsid w:val="0043481A"/>
    <w:rsid w:val="004355D5"/>
    <w:rsid w:val="00437B05"/>
    <w:rsid w:val="00441645"/>
    <w:rsid w:val="00441C57"/>
    <w:rsid w:val="00441C81"/>
    <w:rsid w:val="00442167"/>
    <w:rsid w:val="00443F51"/>
    <w:rsid w:val="00444910"/>
    <w:rsid w:val="00444920"/>
    <w:rsid w:val="00446355"/>
    <w:rsid w:val="00446440"/>
    <w:rsid w:val="004476F2"/>
    <w:rsid w:val="00447AF8"/>
    <w:rsid w:val="00447E61"/>
    <w:rsid w:val="004502FF"/>
    <w:rsid w:val="0045056E"/>
    <w:rsid w:val="00450DEE"/>
    <w:rsid w:val="004518CF"/>
    <w:rsid w:val="00453E80"/>
    <w:rsid w:val="00454E0B"/>
    <w:rsid w:val="00455FE1"/>
    <w:rsid w:val="00456D1D"/>
    <w:rsid w:val="004573C1"/>
    <w:rsid w:val="0045796D"/>
    <w:rsid w:val="00460650"/>
    <w:rsid w:val="00460D7D"/>
    <w:rsid w:val="00461875"/>
    <w:rsid w:val="0046546B"/>
    <w:rsid w:val="00465B9A"/>
    <w:rsid w:val="00466628"/>
    <w:rsid w:val="0046687C"/>
    <w:rsid w:val="00467358"/>
    <w:rsid w:val="0047157F"/>
    <w:rsid w:val="00471A47"/>
    <w:rsid w:val="004738D2"/>
    <w:rsid w:val="0047532B"/>
    <w:rsid w:val="004770E2"/>
    <w:rsid w:val="00477243"/>
    <w:rsid w:val="0047775E"/>
    <w:rsid w:val="0048007B"/>
    <w:rsid w:val="004803FB"/>
    <w:rsid w:val="004816D7"/>
    <w:rsid w:val="0048253D"/>
    <w:rsid w:val="00482658"/>
    <w:rsid w:val="00483A2F"/>
    <w:rsid w:val="00483D0C"/>
    <w:rsid w:val="00484D5E"/>
    <w:rsid w:val="00485D8E"/>
    <w:rsid w:val="004904A4"/>
    <w:rsid w:val="00492488"/>
    <w:rsid w:val="00492711"/>
    <w:rsid w:val="004939CD"/>
    <w:rsid w:val="00493DB0"/>
    <w:rsid w:val="004940B7"/>
    <w:rsid w:val="004940C6"/>
    <w:rsid w:val="00494586"/>
    <w:rsid w:val="00495747"/>
    <w:rsid w:val="00495A4B"/>
    <w:rsid w:val="00496946"/>
    <w:rsid w:val="00496E95"/>
    <w:rsid w:val="004970AF"/>
    <w:rsid w:val="00497265"/>
    <w:rsid w:val="004A04AE"/>
    <w:rsid w:val="004A2FE3"/>
    <w:rsid w:val="004A4182"/>
    <w:rsid w:val="004A43BA"/>
    <w:rsid w:val="004A5B64"/>
    <w:rsid w:val="004A5E3C"/>
    <w:rsid w:val="004A7A2F"/>
    <w:rsid w:val="004B0B93"/>
    <w:rsid w:val="004B233F"/>
    <w:rsid w:val="004B2E62"/>
    <w:rsid w:val="004B4FF7"/>
    <w:rsid w:val="004B710C"/>
    <w:rsid w:val="004B71B3"/>
    <w:rsid w:val="004B7572"/>
    <w:rsid w:val="004B78B6"/>
    <w:rsid w:val="004C1E3F"/>
    <w:rsid w:val="004C3B02"/>
    <w:rsid w:val="004C3DD7"/>
    <w:rsid w:val="004C481B"/>
    <w:rsid w:val="004C50C6"/>
    <w:rsid w:val="004C5119"/>
    <w:rsid w:val="004C77EA"/>
    <w:rsid w:val="004D0744"/>
    <w:rsid w:val="004D1113"/>
    <w:rsid w:val="004D1209"/>
    <w:rsid w:val="004D197A"/>
    <w:rsid w:val="004D1A08"/>
    <w:rsid w:val="004D2BD2"/>
    <w:rsid w:val="004D31B9"/>
    <w:rsid w:val="004D3A0A"/>
    <w:rsid w:val="004D47D3"/>
    <w:rsid w:val="004D5773"/>
    <w:rsid w:val="004D610D"/>
    <w:rsid w:val="004D6B10"/>
    <w:rsid w:val="004D6BDF"/>
    <w:rsid w:val="004D703B"/>
    <w:rsid w:val="004D707F"/>
    <w:rsid w:val="004D7463"/>
    <w:rsid w:val="004E06F7"/>
    <w:rsid w:val="004E0CA9"/>
    <w:rsid w:val="004E2FCB"/>
    <w:rsid w:val="004E64B3"/>
    <w:rsid w:val="004E7CE7"/>
    <w:rsid w:val="004F27A3"/>
    <w:rsid w:val="004F2D8C"/>
    <w:rsid w:val="004F3E94"/>
    <w:rsid w:val="004F4F13"/>
    <w:rsid w:val="004F543A"/>
    <w:rsid w:val="004F70AB"/>
    <w:rsid w:val="00500742"/>
    <w:rsid w:val="00501548"/>
    <w:rsid w:val="00503C23"/>
    <w:rsid w:val="00504506"/>
    <w:rsid w:val="0051046F"/>
    <w:rsid w:val="00510533"/>
    <w:rsid w:val="00511042"/>
    <w:rsid w:val="00512ABB"/>
    <w:rsid w:val="00513625"/>
    <w:rsid w:val="0051463F"/>
    <w:rsid w:val="00514C40"/>
    <w:rsid w:val="00516439"/>
    <w:rsid w:val="00517CF2"/>
    <w:rsid w:val="00520450"/>
    <w:rsid w:val="0052071A"/>
    <w:rsid w:val="00520787"/>
    <w:rsid w:val="00521A10"/>
    <w:rsid w:val="00522308"/>
    <w:rsid w:val="00525310"/>
    <w:rsid w:val="005265C3"/>
    <w:rsid w:val="00527CB9"/>
    <w:rsid w:val="0053252D"/>
    <w:rsid w:val="00533226"/>
    <w:rsid w:val="005333E7"/>
    <w:rsid w:val="00533DDE"/>
    <w:rsid w:val="00534F44"/>
    <w:rsid w:val="005376C1"/>
    <w:rsid w:val="00541A12"/>
    <w:rsid w:val="00546952"/>
    <w:rsid w:val="00546BD4"/>
    <w:rsid w:val="00547542"/>
    <w:rsid w:val="0055150E"/>
    <w:rsid w:val="00553735"/>
    <w:rsid w:val="00555C45"/>
    <w:rsid w:val="00555FCA"/>
    <w:rsid w:val="0055688F"/>
    <w:rsid w:val="00556FB9"/>
    <w:rsid w:val="00560594"/>
    <w:rsid w:val="00560752"/>
    <w:rsid w:val="00562154"/>
    <w:rsid w:val="005631C9"/>
    <w:rsid w:val="00563B48"/>
    <w:rsid w:val="00563FE7"/>
    <w:rsid w:val="00564182"/>
    <w:rsid w:val="00564BD2"/>
    <w:rsid w:val="00564DC0"/>
    <w:rsid w:val="00565283"/>
    <w:rsid w:val="005658E2"/>
    <w:rsid w:val="0056646C"/>
    <w:rsid w:val="00566C77"/>
    <w:rsid w:val="0056755E"/>
    <w:rsid w:val="00570706"/>
    <w:rsid w:val="0057160E"/>
    <w:rsid w:val="00571B56"/>
    <w:rsid w:val="00571EA2"/>
    <w:rsid w:val="0057322F"/>
    <w:rsid w:val="00573A31"/>
    <w:rsid w:val="00574108"/>
    <w:rsid w:val="0057425E"/>
    <w:rsid w:val="00574642"/>
    <w:rsid w:val="00574743"/>
    <w:rsid w:val="005760C3"/>
    <w:rsid w:val="00576433"/>
    <w:rsid w:val="005764FD"/>
    <w:rsid w:val="00580FE8"/>
    <w:rsid w:val="0058113E"/>
    <w:rsid w:val="005817B2"/>
    <w:rsid w:val="00581B7B"/>
    <w:rsid w:val="00581F5E"/>
    <w:rsid w:val="005824CB"/>
    <w:rsid w:val="005831ED"/>
    <w:rsid w:val="0058348A"/>
    <w:rsid w:val="005836B2"/>
    <w:rsid w:val="00583C2B"/>
    <w:rsid w:val="00585D33"/>
    <w:rsid w:val="00585DFF"/>
    <w:rsid w:val="00587040"/>
    <w:rsid w:val="005877C5"/>
    <w:rsid w:val="00587DB7"/>
    <w:rsid w:val="005910EA"/>
    <w:rsid w:val="00591268"/>
    <w:rsid w:val="00591312"/>
    <w:rsid w:val="0059556A"/>
    <w:rsid w:val="00595879"/>
    <w:rsid w:val="0059670A"/>
    <w:rsid w:val="005968EE"/>
    <w:rsid w:val="00596FBE"/>
    <w:rsid w:val="005976FA"/>
    <w:rsid w:val="00597D94"/>
    <w:rsid w:val="005A0E54"/>
    <w:rsid w:val="005A11EA"/>
    <w:rsid w:val="005A2F71"/>
    <w:rsid w:val="005A495D"/>
    <w:rsid w:val="005A4B9C"/>
    <w:rsid w:val="005A4E0F"/>
    <w:rsid w:val="005A5150"/>
    <w:rsid w:val="005A5173"/>
    <w:rsid w:val="005A57BF"/>
    <w:rsid w:val="005A7518"/>
    <w:rsid w:val="005A79CF"/>
    <w:rsid w:val="005B0FC5"/>
    <w:rsid w:val="005B1F50"/>
    <w:rsid w:val="005B29AB"/>
    <w:rsid w:val="005B34F5"/>
    <w:rsid w:val="005B4989"/>
    <w:rsid w:val="005B6257"/>
    <w:rsid w:val="005B6CA4"/>
    <w:rsid w:val="005C29B0"/>
    <w:rsid w:val="005C34F7"/>
    <w:rsid w:val="005C3528"/>
    <w:rsid w:val="005C4EF5"/>
    <w:rsid w:val="005C5DE4"/>
    <w:rsid w:val="005C62E1"/>
    <w:rsid w:val="005D0063"/>
    <w:rsid w:val="005D0AFF"/>
    <w:rsid w:val="005D0D97"/>
    <w:rsid w:val="005D260B"/>
    <w:rsid w:val="005D3233"/>
    <w:rsid w:val="005D431E"/>
    <w:rsid w:val="005D4635"/>
    <w:rsid w:val="005D4862"/>
    <w:rsid w:val="005D57C9"/>
    <w:rsid w:val="005E1BD3"/>
    <w:rsid w:val="005E366C"/>
    <w:rsid w:val="005E3B25"/>
    <w:rsid w:val="005E4CA7"/>
    <w:rsid w:val="005E4D2E"/>
    <w:rsid w:val="005E5056"/>
    <w:rsid w:val="005E57BD"/>
    <w:rsid w:val="005E58F9"/>
    <w:rsid w:val="005F04A6"/>
    <w:rsid w:val="005F2BD9"/>
    <w:rsid w:val="005F2C6E"/>
    <w:rsid w:val="005F3E8D"/>
    <w:rsid w:val="005F51BD"/>
    <w:rsid w:val="005F61B0"/>
    <w:rsid w:val="006005B6"/>
    <w:rsid w:val="00600D5A"/>
    <w:rsid w:val="006047C9"/>
    <w:rsid w:val="00606255"/>
    <w:rsid w:val="006104E0"/>
    <w:rsid w:val="00611928"/>
    <w:rsid w:val="00611F09"/>
    <w:rsid w:val="00613E13"/>
    <w:rsid w:val="00615B6E"/>
    <w:rsid w:val="00617835"/>
    <w:rsid w:val="00621244"/>
    <w:rsid w:val="00621B3F"/>
    <w:rsid w:val="00625983"/>
    <w:rsid w:val="0062605A"/>
    <w:rsid w:val="00630CE5"/>
    <w:rsid w:val="00632C47"/>
    <w:rsid w:val="00634B7F"/>
    <w:rsid w:val="00637FD5"/>
    <w:rsid w:val="00641AB4"/>
    <w:rsid w:val="0064366E"/>
    <w:rsid w:val="00643D07"/>
    <w:rsid w:val="00644170"/>
    <w:rsid w:val="006448A1"/>
    <w:rsid w:val="0064503B"/>
    <w:rsid w:val="00645DA3"/>
    <w:rsid w:val="00646800"/>
    <w:rsid w:val="00646A0C"/>
    <w:rsid w:val="0064766D"/>
    <w:rsid w:val="00647819"/>
    <w:rsid w:val="00650289"/>
    <w:rsid w:val="00650816"/>
    <w:rsid w:val="006522D3"/>
    <w:rsid w:val="00654EF4"/>
    <w:rsid w:val="00656369"/>
    <w:rsid w:val="00657479"/>
    <w:rsid w:val="00657880"/>
    <w:rsid w:val="00661808"/>
    <w:rsid w:val="00661910"/>
    <w:rsid w:val="0066250B"/>
    <w:rsid w:val="00665BE4"/>
    <w:rsid w:val="00666491"/>
    <w:rsid w:val="006667C3"/>
    <w:rsid w:val="00666A0F"/>
    <w:rsid w:val="00667322"/>
    <w:rsid w:val="00671C77"/>
    <w:rsid w:val="00672398"/>
    <w:rsid w:val="006724DD"/>
    <w:rsid w:val="0067321D"/>
    <w:rsid w:val="00674527"/>
    <w:rsid w:val="006763D1"/>
    <w:rsid w:val="0067671B"/>
    <w:rsid w:val="0067702C"/>
    <w:rsid w:val="006774E3"/>
    <w:rsid w:val="006805AB"/>
    <w:rsid w:val="00681800"/>
    <w:rsid w:val="0068236E"/>
    <w:rsid w:val="006842EA"/>
    <w:rsid w:val="0068436F"/>
    <w:rsid w:val="00684720"/>
    <w:rsid w:val="00690D35"/>
    <w:rsid w:val="00691042"/>
    <w:rsid w:val="0069201F"/>
    <w:rsid w:val="00692427"/>
    <w:rsid w:val="0069254B"/>
    <w:rsid w:val="006929F7"/>
    <w:rsid w:val="0069319C"/>
    <w:rsid w:val="0069340D"/>
    <w:rsid w:val="0069377C"/>
    <w:rsid w:val="00695DE3"/>
    <w:rsid w:val="00696743"/>
    <w:rsid w:val="00696EE0"/>
    <w:rsid w:val="00697AB6"/>
    <w:rsid w:val="00697DA0"/>
    <w:rsid w:val="006A00B2"/>
    <w:rsid w:val="006A191D"/>
    <w:rsid w:val="006A2933"/>
    <w:rsid w:val="006A3BC9"/>
    <w:rsid w:val="006A3D22"/>
    <w:rsid w:val="006A3D3A"/>
    <w:rsid w:val="006A420A"/>
    <w:rsid w:val="006A4B49"/>
    <w:rsid w:val="006A4DB2"/>
    <w:rsid w:val="006A4E81"/>
    <w:rsid w:val="006A537D"/>
    <w:rsid w:val="006A54F6"/>
    <w:rsid w:val="006A5FBA"/>
    <w:rsid w:val="006A6A80"/>
    <w:rsid w:val="006A76DD"/>
    <w:rsid w:val="006B03FC"/>
    <w:rsid w:val="006B04F6"/>
    <w:rsid w:val="006B256A"/>
    <w:rsid w:val="006B3555"/>
    <w:rsid w:val="006B37C3"/>
    <w:rsid w:val="006B7D5C"/>
    <w:rsid w:val="006C25F7"/>
    <w:rsid w:val="006C32C6"/>
    <w:rsid w:val="006C384C"/>
    <w:rsid w:val="006C3E49"/>
    <w:rsid w:val="006C437E"/>
    <w:rsid w:val="006C5E9D"/>
    <w:rsid w:val="006C6FA6"/>
    <w:rsid w:val="006D343E"/>
    <w:rsid w:val="006D3C29"/>
    <w:rsid w:val="006D495B"/>
    <w:rsid w:val="006D6A69"/>
    <w:rsid w:val="006E135B"/>
    <w:rsid w:val="006E2476"/>
    <w:rsid w:val="006E3302"/>
    <w:rsid w:val="006E3CE3"/>
    <w:rsid w:val="006E4C51"/>
    <w:rsid w:val="006E4CC5"/>
    <w:rsid w:val="006E5A5D"/>
    <w:rsid w:val="006E5B29"/>
    <w:rsid w:val="006E7E0C"/>
    <w:rsid w:val="006F0289"/>
    <w:rsid w:val="006F08CE"/>
    <w:rsid w:val="006F2088"/>
    <w:rsid w:val="006F28CF"/>
    <w:rsid w:val="006F3A05"/>
    <w:rsid w:val="006F3F3C"/>
    <w:rsid w:val="006F44D4"/>
    <w:rsid w:val="006F6C5D"/>
    <w:rsid w:val="006F7869"/>
    <w:rsid w:val="00700B3C"/>
    <w:rsid w:val="00702A1F"/>
    <w:rsid w:val="007038D6"/>
    <w:rsid w:val="00712411"/>
    <w:rsid w:val="0071245B"/>
    <w:rsid w:val="007142EA"/>
    <w:rsid w:val="00717150"/>
    <w:rsid w:val="007179BB"/>
    <w:rsid w:val="007179F8"/>
    <w:rsid w:val="00720308"/>
    <w:rsid w:val="0072182F"/>
    <w:rsid w:val="007226CF"/>
    <w:rsid w:val="007227C0"/>
    <w:rsid w:val="0072358E"/>
    <w:rsid w:val="007237A0"/>
    <w:rsid w:val="007241BB"/>
    <w:rsid w:val="007249BD"/>
    <w:rsid w:val="00726A73"/>
    <w:rsid w:val="0073134E"/>
    <w:rsid w:val="007345F4"/>
    <w:rsid w:val="00734909"/>
    <w:rsid w:val="00734B41"/>
    <w:rsid w:val="007373B1"/>
    <w:rsid w:val="0074077C"/>
    <w:rsid w:val="00740E9B"/>
    <w:rsid w:val="007429E5"/>
    <w:rsid w:val="0074309A"/>
    <w:rsid w:val="0074346E"/>
    <w:rsid w:val="00744EF2"/>
    <w:rsid w:val="007451AA"/>
    <w:rsid w:val="007453D1"/>
    <w:rsid w:val="00745D18"/>
    <w:rsid w:val="00745DB0"/>
    <w:rsid w:val="00746236"/>
    <w:rsid w:val="00746F03"/>
    <w:rsid w:val="00747936"/>
    <w:rsid w:val="00750034"/>
    <w:rsid w:val="00750B34"/>
    <w:rsid w:val="00750C8B"/>
    <w:rsid w:val="007512D6"/>
    <w:rsid w:val="00751C59"/>
    <w:rsid w:val="00751CBE"/>
    <w:rsid w:val="00753476"/>
    <w:rsid w:val="00753EB4"/>
    <w:rsid w:val="0075402B"/>
    <w:rsid w:val="007541E6"/>
    <w:rsid w:val="00760137"/>
    <w:rsid w:val="0076070E"/>
    <w:rsid w:val="00761C67"/>
    <w:rsid w:val="00762C55"/>
    <w:rsid w:val="007635D5"/>
    <w:rsid w:val="00763B07"/>
    <w:rsid w:val="00764650"/>
    <w:rsid w:val="007658AC"/>
    <w:rsid w:val="00765CAF"/>
    <w:rsid w:val="00767B61"/>
    <w:rsid w:val="0077269B"/>
    <w:rsid w:val="00772860"/>
    <w:rsid w:val="007740C2"/>
    <w:rsid w:val="007750DA"/>
    <w:rsid w:val="0077597A"/>
    <w:rsid w:val="0077661D"/>
    <w:rsid w:val="00780028"/>
    <w:rsid w:val="00780C11"/>
    <w:rsid w:val="0078126B"/>
    <w:rsid w:val="00781AA3"/>
    <w:rsid w:val="00781E98"/>
    <w:rsid w:val="00782104"/>
    <w:rsid w:val="0078331E"/>
    <w:rsid w:val="00783383"/>
    <w:rsid w:val="007837D0"/>
    <w:rsid w:val="007850F1"/>
    <w:rsid w:val="00785193"/>
    <w:rsid w:val="00787A00"/>
    <w:rsid w:val="00790A3E"/>
    <w:rsid w:val="00790EEE"/>
    <w:rsid w:val="0079135E"/>
    <w:rsid w:val="00791C16"/>
    <w:rsid w:val="0079252E"/>
    <w:rsid w:val="0079307A"/>
    <w:rsid w:val="007933B6"/>
    <w:rsid w:val="00793400"/>
    <w:rsid w:val="00793F40"/>
    <w:rsid w:val="007944F8"/>
    <w:rsid w:val="00794E39"/>
    <w:rsid w:val="00795C60"/>
    <w:rsid w:val="007963E5"/>
    <w:rsid w:val="00797622"/>
    <w:rsid w:val="007A0BEA"/>
    <w:rsid w:val="007A112C"/>
    <w:rsid w:val="007A2838"/>
    <w:rsid w:val="007A38D5"/>
    <w:rsid w:val="007A5148"/>
    <w:rsid w:val="007A623B"/>
    <w:rsid w:val="007A6C0D"/>
    <w:rsid w:val="007A6CB7"/>
    <w:rsid w:val="007B0B9A"/>
    <w:rsid w:val="007B3063"/>
    <w:rsid w:val="007B3FB9"/>
    <w:rsid w:val="007B4EAD"/>
    <w:rsid w:val="007B54FC"/>
    <w:rsid w:val="007B5BBD"/>
    <w:rsid w:val="007B6B13"/>
    <w:rsid w:val="007B6ECD"/>
    <w:rsid w:val="007B6FE0"/>
    <w:rsid w:val="007B7686"/>
    <w:rsid w:val="007C075F"/>
    <w:rsid w:val="007C10CE"/>
    <w:rsid w:val="007C122E"/>
    <w:rsid w:val="007C22B2"/>
    <w:rsid w:val="007C55FB"/>
    <w:rsid w:val="007C5AAA"/>
    <w:rsid w:val="007C647E"/>
    <w:rsid w:val="007C7318"/>
    <w:rsid w:val="007C7495"/>
    <w:rsid w:val="007D01DF"/>
    <w:rsid w:val="007D0FAA"/>
    <w:rsid w:val="007D2CA7"/>
    <w:rsid w:val="007D2EEB"/>
    <w:rsid w:val="007D54EE"/>
    <w:rsid w:val="007D7779"/>
    <w:rsid w:val="007D7EBA"/>
    <w:rsid w:val="007E0D30"/>
    <w:rsid w:val="007E0E17"/>
    <w:rsid w:val="007E19F8"/>
    <w:rsid w:val="007E1BF2"/>
    <w:rsid w:val="007E1D97"/>
    <w:rsid w:val="007E46F0"/>
    <w:rsid w:val="007E5B70"/>
    <w:rsid w:val="007E6279"/>
    <w:rsid w:val="007E6BA6"/>
    <w:rsid w:val="007E751B"/>
    <w:rsid w:val="007F0E07"/>
    <w:rsid w:val="007F11AD"/>
    <w:rsid w:val="007F30A6"/>
    <w:rsid w:val="007F30F4"/>
    <w:rsid w:val="007F3FC2"/>
    <w:rsid w:val="007F4294"/>
    <w:rsid w:val="007F4DCE"/>
    <w:rsid w:val="007F60C6"/>
    <w:rsid w:val="007F6206"/>
    <w:rsid w:val="007F67FB"/>
    <w:rsid w:val="007F7E73"/>
    <w:rsid w:val="00804A25"/>
    <w:rsid w:val="00804EDE"/>
    <w:rsid w:val="00804F33"/>
    <w:rsid w:val="00805741"/>
    <w:rsid w:val="008059B9"/>
    <w:rsid w:val="00807859"/>
    <w:rsid w:val="00811E2D"/>
    <w:rsid w:val="00815191"/>
    <w:rsid w:val="00816A6A"/>
    <w:rsid w:val="00817E63"/>
    <w:rsid w:val="00821F79"/>
    <w:rsid w:val="00823463"/>
    <w:rsid w:val="00823D5B"/>
    <w:rsid w:val="00825E79"/>
    <w:rsid w:val="00825EEB"/>
    <w:rsid w:val="00830C85"/>
    <w:rsid w:val="00830D42"/>
    <w:rsid w:val="00831843"/>
    <w:rsid w:val="00831FD9"/>
    <w:rsid w:val="00832582"/>
    <w:rsid w:val="008337A2"/>
    <w:rsid w:val="00834DF3"/>
    <w:rsid w:val="0083517A"/>
    <w:rsid w:val="008364FC"/>
    <w:rsid w:val="008373D3"/>
    <w:rsid w:val="00837717"/>
    <w:rsid w:val="008407D3"/>
    <w:rsid w:val="00841518"/>
    <w:rsid w:val="00841577"/>
    <w:rsid w:val="008416EF"/>
    <w:rsid w:val="0084293E"/>
    <w:rsid w:val="0084378A"/>
    <w:rsid w:val="00843D1B"/>
    <w:rsid w:val="008455C6"/>
    <w:rsid w:val="008460CA"/>
    <w:rsid w:val="00850013"/>
    <w:rsid w:val="00851962"/>
    <w:rsid w:val="00853B69"/>
    <w:rsid w:val="00855B2F"/>
    <w:rsid w:val="008569B8"/>
    <w:rsid w:val="00856B7A"/>
    <w:rsid w:val="00857645"/>
    <w:rsid w:val="00860370"/>
    <w:rsid w:val="00862557"/>
    <w:rsid w:val="0086719F"/>
    <w:rsid w:val="0087107D"/>
    <w:rsid w:val="008724CF"/>
    <w:rsid w:val="00872B92"/>
    <w:rsid w:val="00872FEA"/>
    <w:rsid w:val="00873955"/>
    <w:rsid w:val="00873F47"/>
    <w:rsid w:val="008740EC"/>
    <w:rsid w:val="008754F5"/>
    <w:rsid w:val="00876E8F"/>
    <w:rsid w:val="0087780D"/>
    <w:rsid w:val="008800A2"/>
    <w:rsid w:val="00880203"/>
    <w:rsid w:val="00880C9F"/>
    <w:rsid w:val="00883168"/>
    <w:rsid w:val="00883622"/>
    <w:rsid w:val="0088521D"/>
    <w:rsid w:val="0088531A"/>
    <w:rsid w:val="0088543C"/>
    <w:rsid w:val="00885902"/>
    <w:rsid w:val="0088666F"/>
    <w:rsid w:val="00887746"/>
    <w:rsid w:val="00887C41"/>
    <w:rsid w:val="0089040F"/>
    <w:rsid w:val="0089088A"/>
    <w:rsid w:val="00890A2B"/>
    <w:rsid w:val="00891451"/>
    <w:rsid w:val="00892FDF"/>
    <w:rsid w:val="0089547B"/>
    <w:rsid w:val="00895668"/>
    <w:rsid w:val="00895A5E"/>
    <w:rsid w:val="00895B09"/>
    <w:rsid w:val="008A0356"/>
    <w:rsid w:val="008A0A32"/>
    <w:rsid w:val="008A143D"/>
    <w:rsid w:val="008A166F"/>
    <w:rsid w:val="008A3E2B"/>
    <w:rsid w:val="008B015C"/>
    <w:rsid w:val="008B0E60"/>
    <w:rsid w:val="008B20C2"/>
    <w:rsid w:val="008B3410"/>
    <w:rsid w:val="008B35D0"/>
    <w:rsid w:val="008B4352"/>
    <w:rsid w:val="008B4835"/>
    <w:rsid w:val="008B48A6"/>
    <w:rsid w:val="008B5C02"/>
    <w:rsid w:val="008B6306"/>
    <w:rsid w:val="008B64F4"/>
    <w:rsid w:val="008B6F24"/>
    <w:rsid w:val="008C0125"/>
    <w:rsid w:val="008C1B72"/>
    <w:rsid w:val="008C31EC"/>
    <w:rsid w:val="008C39C4"/>
    <w:rsid w:val="008C5BF0"/>
    <w:rsid w:val="008C7188"/>
    <w:rsid w:val="008C7435"/>
    <w:rsid w:val="008C7680"/>
    <w:rsid w:val="008D14A5"/>
    <w:rsid w:val="008D1BAE"/>
    <w:rsid w:val="008D201C"/>
    <w:rsid w:val="008D2A34"/>
    <w:rsid w:val="008D2AC3"/>
    <w:rsid w:val="008D3967"/>
    <w:rsid w:val="008D51F5"/>
    <w:rsid w:val="008D60B0"/>
    <w:rsid w:val="008D6339"/>
    <w:rsid w:val="008D7B80"/>
    <w:rsid w:val="008E19FD"/>
    <w:rsid w:val="008E2A27"/>
    <w:rsid w:val="008E362E"/>
    <w:rsid w:val="008E3CC7"/>
    <w:rsid w:val="008E41C5"/>
    <w:rsid w:val="008E492F"/>
    <w:rsid w:val="008E64BE"/>
    <w:rsid w:val="008E7EA0"/>
    <w:rsid w:val="008F24F5"/>
    <w:rsid w:val="008F5544"/>
    <w:rsid w:val="008F622A"/>
    <w:rsid w:val="008F6C45"/>
    <w:rsid w:val="008F6CDF"/>
    <w:rsid w:val="008F6D23"/>
    <w:rsid w:val="008F7AA8"/>
    <w:rsid w:val="008F7B6D"/>
    <w:rsid w:val="009000BD"/>
    <w:rsid w:val="009020E9"/>
    <w:rsid w:val="00903BF6"/>
    <w:rsid w:val="0090442D"/>
    <w:rsid w:val="0090760A"/>
    <w:rsid w:val="009105FD"/>
    <w:rsid w:val="00910C26"/>
    <w:rsid w:val="00910D0D"/>
    <w:rsid w:val="00910D40"/>
    <w:rsid w:val="00910FC0"/>
    <w:rsid w:val="00911068"/>
    <w:rsid w:val="00913071"/>
    <w:rsid w:val="00914C1F"/>
    <w:rsid w:val="00916D3D"/>
    <w:rsid w:val="00917001"/>
    <w:rsid w:val="009205F7"/>
    <w:rsid w:val="00920747"/>
    <w:rsid w:val="009210A1"/>
    <w:rsid w:val="00924546"/>
    <w:rsid w:val="00924D7E"/>
    <w:rsid w:val="00924EAA"/>
    <w:rsid w:val="00924F9D"/>
    <w:rsid w:val="00926A04"/>
    <w:rsid w:val="00926BB9"/>
    <w:rsid w:val="00927C89"/>
    <w:rsid w:val="00931BC8"/>
    <w:rsid w:val="00931E09"/>
    <w:rsid w:val="00932EF1"/>
    <w:rsid w:val="0093680D"/>
    <w:rsid w:val="00936E43"/>
    <w:rsid w:val="00937040"/>
    <w:rsid w:val="00940738"/>
    <w:rsid w:val="00941070"/>
    <w:rsid w:val="00943338"/>
    <w:rsid w:val="00943826"/>
    <w:rsid w:val="009447FC"/>
    <w:rsid w:val="0094518C"/>
    <w:rsid w:val="0095411A"/>
    <w:rsid w:val="00954536"/>
    <w:rsid w:val="00955D26"/>
    <w:rsid w:val="00957338"/>
    <w:rsid w:val="0095753C"/>
    <w:rsid w:val="0096046B"/>
    <w:rsid w:val="00960DF2"/>
    <w:rsid w:val="00962230"/>
    <w:rsid w:val="00962D61"/>
    <w:rsid w:val="00964183"/>
    <w:rsid w:val="0096526E"/>
    <w:rsid w:val="00965572"/>
    <w:rsid w:val="00965723"/>
    <w:rsid w:val="00965FDB"/>
    <w:rsid w:val="00966126"/>
    <w:rsid w:val="0096626B"/>
    <w:rsid w:val="009676D8"/>
    <w:rsid w:val="00967B6F"/>
    <w:rsid w:val="00970AEB"/>
    <w:rsid w:val="00970F0E"/>
    <w:rsid w:val="00972923"/>
    <w:rsid w:val="00972AFA"/>
    <w:rsid w:val="009739D2"/>
    <w:rsid w:val="00974B2F"/>
    <w:rsid w:val="009751AC"/>
    <w:rsid w:val="00975619"/>
    <w:rsid w:val="00975B1D"/>
    <w:rsid w:val="009760C5"/>
    <w:rsid w:val="00976472"/>
    <w:rsid w:val="00976AA6"/>
    <w:rsid w:val="00980202"/>
    <w:rsid w:val="00981D50"/>
    <w:rsid w:val="009822D3"/>
    <w:rsid w:val="009824CE"/>
    <w:rsid w:val="00982504"/>
    <w:rsid w:val="009829C4"/>
    <w:rsid w:val="00982DAE"/>
    <w:rsid w:val="00983F1B"/>
    <w:rsid w:val="00984304"/>
    <w:rsid w:val="0098491A"/>
    <w:rsid w:val="00986980"/>
    <w:rsid w:val="00987504"/>
    <w:rsid w:val="0099000F"/>
    <w:rsid w:val="00990065"/>
    <w:rsid w:val="009900F0"/>
    <w:rsid w:val="00992A6A"/>
    <w:rsid w:val="00994E9D"/>
    <w:rsid w:val="009950F3"/>
    <w:rsid w:val="00995E08"/>
    <w:rsid w:val="009A143F"/>
    <w:rsid w:val="009A1B28"/>
    <w:rsid w:val="009A2096"/>
    <w:rsid w:val="009A28A9"/>
    <w:rsid w:val="009A51E8"/>
    <w:rsid w:val="009A527C"/>
    <w:rsid w:val="009A5B19"/>
    <w:rsid w:val="009A6328"/>
    <w:rsid w:val="009B0E5F"/>
    <w:rsid w:val="009B1869"/>
    <w:rsid w:val="009B254A"/>
    <w:rsid w:val="009B3F74"/>
    <w:rsid w:val="009B432F"/>
    <w:rsid w:val="009B5239"/>
    <w:rsid w:val="009B721E"/>
    <w:rsid w:val="009C0D0E"/>
    <w:rsid w:val="009C2000"/>
    <w:rsid w:val="009C26A9"/>
    <w:rsid w:val="009C2F71"/>
    <w:rsid w:val="009C326B"/>
    <w:rsid w:val="009C5636"/>
    <w:rsid w:val="009C6996"/>
    <w:rsid w:val="009C7102"/>
    <w:rsid w:val="009D2795"/>
    <w:rsid w:val="009D2C54"/>
    <w:rsid w:val="009D3A4D"/>
    <w:rsid w:val="009D4D50"/>
    <w:rsid w:val="009D5077"/>
    <w:rsid w:val="009E0052"/>
    <w:rsid w:val="009E00BF"/>
    <w:rsid w:val="009E1C97"/>
    <w:rsid w:val="009E29C8"/>
    <w:rsid w:val="009E33C5"/>
    <w:rsid w:val="009E3AEA"/>
    <w:rsid w:val="009E3CA8"/>
    <w:rsid w:val="009E6EC1"/>
    <w:rsid w:val="009F0CE9"/>
    <w:rsid w:val="009F123F"/>
    <w:rsid w:val="009F16C6"/>
    <w:rsid w:val="009F3849"/>
    <w:rsid w:val="009F38CE"/>
    <w:rsid w:val="009F4FC5"/>
    <w:rsid w:val="00A02E63"/>
    <w:rsid w:val="00A03116"/>
    <w:rsid w:val="00A0497C"/>
    <w:rsid w:val="00A054FB"/>
    <w:rsid w:val="00A058D8"/>
    <w:rsid w:val="00A06A96"/>
    <w:rsid w:val="00A06D11"/>
    <w:rsid w:val="00A11518"/>
    <w:rsid w:val="00A11C97"/>
    <w:rsid w:val="00A12BEB"/>
    <w:rsid w:val="00A15750"/>
    <w:rsid w:val="00A175DF"/>
    <w:rsid w:val="00A200D7"/>
    <w:rsid w:val="00A202DB"/>
    <w:rsid w:val="00A21164"/>
    <w:rsid w:val="00A24206"/>
    <w:rsid w:val="00A24B0F"/>
    <w:rsid w:val="00A24BDC"/>
    <w:rsid w:val="00A2585B"/>
    <w:rsid w:val="00A269F5"/>
    <w:rsid w:val="00A27C27"/>
    <w:rsid w:val="00A31656"/>
    <w:rsid w:val="00A319A4"/>
    <w:rsid w:val="00A32600"/>
    <w:rsid w:val="00A34D56"/>
    <w:rsid w:val="00A35C18"/>
    <w:rsid w:val="00A3760A"/>
    <w:rsid w:val="00A402B7"/>
    <w:rsid w:val="00A41C1C"/>
    <w:rsid w:val="00A42225"/>
    <w:rsid w:val="00A43C4F"/>
    <w:rsid w:val="00A444E4"/>
    <w:rsid w:val="00A455AD"/>
    <w:rsid w:val="00A463AC"/>
    <w:rsid w:val="00A4661C"/>
    <w:rsid w:val="00A46A45"/>
    <w:rsid w:val="00A46F45"/>
    <w:rsid w:val="00A4763B"/>
    <w:rsid w:val="00A5082F"/>
    <w:rsid w:val="00A50E14"/>
    <w:rsid w:val="00A5213B"/>
    <w:rsid w:val="00A54AF5"/>
    <w:rsid w:val="00A54D91"/>
    <w:rsid w:val="00A560B4"/>
    <w:rsid w:val="00A562EB"/>
    <w:rsid w:val="00A565AF"/>
    <w:rsid w:val="00A56AF3"/>
    <w:rsid w:val="00A60003"/>
    <w:rsid w:val="00A601EB"/>
    <w:rsid w:val="00A621FD"/>
    <w:rsid w:val="00A640E1"/>
    <w:rsid w:val="00A64C11"/>
    <w:rsid w:val="00A66EDA"/>
    <w:rsid w:val="00A7125D"/>
    <w:rsid w:val="00A717D2"/>
    <w:rsid w:val="00A73A35"/>
    <w:rsid w:val="00A748B5"/>
    <w:rsid w:val="00A74BD9"/>
    <w:rsid w:val="00A74F02"/>
    <w:rsid w:val="00A75C4F"/>
    <w:rsid w:val="00A76672"/>
    <w:rsid w:val="00A77623"/>
    <w:rsid w:val="00A8288A"/>
    <w:rsid w:val="00A82CAF"/>
    <w:rsid w:val="00A83076"/>
    <w:rsid w:val="00A83D0B"/>
    <w:rsid w:val="00A840EE"/>
    <w:rsid w:val="00A848E9"/>
    <w:rsid w:val="00A85090"/>
    <w:rsid w:val="00A86CF2"/>
    <w:rsid w:val="00A9231A"/>
    <w:rsid w:val="00A94322"/>
    <w:rsid w:val="00A94CC2"/>
    <w:rsid w:val="00A94E36"/>
    <w:rsid w:val="00A964C0"/>
    <w:rsid w:val="00A9654D"/>
    <w:rsid w:val="00A96BF2"/>
    <w:rsid w:val="00A9787F"/>
    <w:rsid w:val="00AA0658"/>
    <w:rsid w:val="00AA1B17"/>
    <w:rsid w:val="00AA2769"/>
    <w:rsid w:val="00AA316D"/>
    <w:rsid w:val="00AA48CA"/>
    <w:rsid w:val="00AA5C8D"/>
    <w:rsid w:val="00AA6E66"/>
    <w:rsid w:val="00AA74A5"/>
    <w:rsid w:val="00AA78E7"/>
    <w:rsid w:val="00AB16EE"/>
    <w:rsid w:val="00AB2CF7"/>
    <w:rsid w:val="00AB6BC1"/>
    <w:rsid w:val="00AB6BE1"/>
    <w:rsid w:val="00AB7A0C"/>
    <w:rsid w:val="00AC0CF4"/>
    <w:rsid w:val="00AC1937"/>
    <w:rsid w:val="00AC1B1B"/>
    <w:rsid w:val="00AC2A52"/>
    <w:rsid w:val="00AC3DE6"/>
    <w:rsid w:val="00AC4B82"/>
    <w:rsid w:val="00AC4F7C"/>
    <w:rsid w:val="00AC5BF8"/>
    <w:rsid w:val="00AC6084"/>
    <w:rsid w:val="00AC6C6F"/>
    <w:rsid w:val="00AD0A12"/>
    <w:rsid w:val="00AD2078"/>
    <w:rsid w:val="00AD21EE"/>
    <w:rsid w:val="00AD24DE"/>
    <w:rsid w:val="00AD2941"/>
    <w:rsid w:val="00AD6126"/>
    <w:rsid w:val="00AD64F4"/>
    <w:rsid w:val="00AD7D83"/>
    <w:rsid w:val="00AD7E47"/>
    <w:rsid w:val="00AE0364"/>
    <w:rsid w:val="00AE4854"/>
    <w:rsid w:val="00AE54C4"/>
    <w:rsid w:val="00AE5754"/>
    <w:rsid w:val="00AE5B40"/>
    <w:rsid w:val="00AE692E"/>
    <w:rsid w:val="00AE79BF"/>
    <w:rsid w:val="00AF08C3"/>
    <w:rsid w:val="00AF0CF7"/>
    <w:rsid w:val="00AF2D4E"/>
    <w:rsid w:val="00AF2E4C"/>
    <w:rsid w:val="00AF3358"/>
    <w:rsid w:val="00AF373C"/>
    <w:rsid w:val="00AF749F"/>
    <w:rsid w:val="00B000FA"/>
    <w:rsid w:val="00B01073"/>
    <w:rsid w:val="00B025C8"/>
    <w:rsid w:val="00B03078"/>
    <w:rsid w:val="00B03C44"/>
    <w:rsid w:val="00B03C7F"/>
    <w:rsid w:val="00B03E21"/>
    <w:rsid w:val="00B049E9"/>
    <w:rsid w:val="00B050CD"/>
    <w:rsid w:val="00B065E5"/>
    <w:rsid w:val="00B07C63"/>
    <w:rsid w:val="00B07E1E"/>
    <w:rsid w:val="00B07F8C"/>
    <w:rsid w:val="00B12804"/>
    <w:rsid w:val="00B12EEA"/>
    <w:rsid w:val="00B13825"/>
    <w:rsid w:val="00B16C79"/>
    <w:rsid w:val="00B203AB"/>
    <w:rsid w:val="00B20C91"/>
    <w:rsid w:val="00B20E17"/>
    <w:rsid w:val="00B216D0"/>
    <w:rsid w:val="00B22946"/>
    <w:rsid w:val="00B22BB2"/>
    <w:rsid w:val="00B230C1"/>
    <w:rsid w:val="00B2546B"/>
    <w:rsid w:val="00B254DF"/>
    <w:rsid w:val="00B26C08"/>
    <w:rsid w:val="00B27E14"/>
    <w:rsid w:val="00B3067B"/>
    <w:rsid w:val="00B31C82"/>
    <w:rsid w:val="00B329A0"/>
    <w:rsid w:val="00B34786"/>
    <w:rsid w:val="00B35C9C"/>
    <w:rsid w:val="00B36BA8"/>
    <w:rsid w:val="00B36BFB"/>
    <w:rsid w:val="00B36FF1"/>
    <w:rsid w:val="00B3700B"/>
    <w:rsid w:val="00B40593"/>
    <w:rsid w:val="00B4300A"/>
    <w:rsid w:val="00B43A08"/>
    <w:rsid w:val="00B43A7C"/>
    <w:rsid w:val="00B456E0"/>
    <w:rsid w:val="00B45B6D"/>
    <w:rsid w:val="00B460D3"/>
    <w:rsid w:val="00B46F3C"/>
    <w:rsid w:val="00B50C8A"/>
    <w:rsid w:val="00B537FC"/>
    <w:rsid w:val="00B564DA"/>
    <w:rsid w:val="00B610DE"/>
    <w:rsid w:val="00B61169"/>
    <w:rsid w:val="00B63A31"/>
    <w:rsid w:val="00B674C8"/>
    <w:rsid w:val="00B701BD"/>
    <w:rsid w:val="00B73E5D"/>
    <w:rsid w:val="00B74229"/>
    <w:rsid w:val="00B74FB2"/>
    <w:rsid w:val="00B75DAC"/>
    <w:rsid w:val="00B7741D"/>
    <w:rsid w:val="00B77C44"/>
    <w:rsid w:val="00B8254C"/>
    <w:rsid w:val="00B826A8"/>
    <w:rsid w:val="00B82948"/>
    <w:rsid w:val="00B8390C"/>
    <w:rsid w:val="00B83AAF"/>
    <w:rsid w:val="00B8491F"/>
    <w:rsid w:val="00B84A2D"/>
    <w:rsid w:val="00B84D3D"/>
    <w:rsid w:val="00B85528"/>
    <w:rsid w:val="00B86C2E"/>
    <w:rsid w:val="00B86F92"/>
    <w:rsid w:val="00B908AF"/>
    <w:rsid w:val="00B90BD8"/>
    <w:rsid w:val="00B91210"/>
    <w:rsid w:val="00B925AF"/>
    <w:rsid w:val="00B92ACC"/>
    <w:rsid w:val="00B93D13"/>
    <w:rsid w:val="00B9421E"/>
    <w:rsid w:val="00B94743"/>
    <w:rsid w:val="00B954F6"/>
    <w:rsid w:val="00B95582"/>
    <w:rsid w:val="00B961D2"/>
    <w:rsid w:val="00B97516"/>
    <w:rsid w:val="00B97C6B"/>
    <w:rsid w:val="00B97DC7"/>
    <w:rsid w:val="00BA0B5A"/>
    <w:rsid w:val="00BA0B5E"/>
    <w:rsid w:val="00BA0EC5"/>
    <w:rsid w:val="00BA3CBC"/>
    <w:rsid w:val="00BA4D61"/>
    <w:rsid w:val="00BB0B29"/>
    <w:rsid w:val="00BB1415"/>
    <w:rsid w:val="00BB1468"/>
    <w:rsid w:val="00BB2269"/>
    <w:rsid w:val="00BB314E"/>
    <w:rsid w:val="00BB4264"/>
    <w:rsid w:val="00BB45D9"/>
    <w:rsid w:val="00BB4F00"/>
    <w:rsid w:val="00BB5125"/>
    <w:rsid w:val="00BB5B15"/>
    <w:rsid w:val="00BB61BC"/>
    <w:rsid w:val="00BB68DB"/>
    <w:rsid w:val="00BB7665"/>
    <w:rsid w:val="00BC1FB7"/>
    <w:rsid w:val="00BC27C1"/>
    <w:rsid w:val="00BC2AAE"/>
    <w:rsid w:val="00BC314D"/>
    <w:rsid w:val="00BC5350"/>
    <w:rsid w:val="00BC54DB"/>
    <w:rsid w:val="00BC5F05"/>
    <w:rsid w:val="00BD12D0"/>
    <w:rsid w:val="00BD2396"/>
    <w:rsid w:val="00BD2C1F"/>
    <w:rsid w:val="00BD36D2"/>
    <w:rsid w:val="00BD4977"/>
    <w:rsid w:val="00BD6507"/>
    <w:rsid w:val="00BD6AAA"/>
    <w:rsid w:val="00BE0103"/>
    <w:rsid w:val="00BE05BF"/>
    <w:rsid w:val="00BE14FF"/>
    <w:rsid w:val="00BE2E53"/>
    <w:rsid w:val="00BE33CA"/>
    <w:rsid w:val="00BE6109"/>
    <w:rsid w:val="00BE6976"/>
    <w:rsid w:val="00BF0335"/>
    <w:rsid w:val="00BF05B4"/>
    <w:rsid w:val="00BF0E24"/>
    <w:rsid w:val="00BF1169"/>
    <w:rsid w:val="00BF2198"/>
    <w:rsid w:val="00BF2EF7"/>
    <w:rsid w:val="00BF6ACE"/>
    <w:rsid w:val="00BF7194"/>
    <w:rsid w:val="00C00AA2"/>
    <w:rsid w:val="00C0252C"/>
    <w:rsid w:val="00C026D6"/>
    <w:rsid w:val="00C10EC5"/>
    <w:rsid w:val="00C111AC"/>
    <w:rsid w:val="00C12CA7"/>
    <w:rsid w:val="00C13302"/>
    <w:rsid w:val="00C14EE2"/>
    <w:rsid w:val="00C2081F"/>
    <w:rsid w:val="00C208C0"/>
    <w:rsid w:val="00C21ADA"/>
    <w:rsid w:val="00C239D5"/>
    <w:rsid w:val="00C24704"/>
    <w:rsid w:val="00C25BD6"/>
    <w:rsid w:val="00C26F33"/>
    <w:rsid w:val="00C27BE9"/>
    <w:rsid w:val="00C30DC6"/>
    <w:rsid w:val="00C329EF"/>
    <w:rsid w:val="00C32D09"/>
    <w:rsid w:val="00C3363A"/>
    <w:rsid w:val="00C3404E"/>
    <w:rsid w:val="00C35723"/>
    <w:rsid w:val="00C359F2"/>
    <w:rsid w:val="00C35B94"/>
    <w:rsid w:val="00C35C69"/>
    <w:rsid w:val="00C36DB9"/>
    <w:rsid w:val="00C36E5D"/>
    <w:rsid w:val="00C375C6"/>
    <w:rsid w:val="00C376E1"/>
    <w:rsid w:val="00C40572"/>
    <w:rsid w:val="00C40607"/>
    <w:rsid w:val="00C41231"/>
    <w:rsid w:val="00C4337F"/>
    <w:rsid w:val="00C43C77"/>
    <w:rsid w:val="00C44486"/>
    <w:rsid w:val="00C455C2"/>
    <w:rsid w:val="00C46991"/>
    <w:rsid w:val="00C46B21"/>
    <w:rsid w:val="00C47A07"/>
    <w:rsid w:val="00C47EF0"/>
    <w:rsid w:val="00C50A5F"/>
    <w:rsid w:val="00C5134A"/>
    <w:rsid w:val="00C51DD0"/>
    <w:rsid w:val="00C521BB"/>
    <w:rsid w:val="00C528C7"/>
    <w:rsid w:val="00C535A2"/>
    <w:rsid w:val="00C54ACB"/>
    <w:rsid w:val="00C57433"/>
    <w:rsid w:val="00C6039A"/>
    <w:rsid w:val="00C639FF"/>
    <w:rsid w:val="00C642B0"/>
    <w:rsid w:val="00C6537C"/>
    <w:rsid w:val="00C65CAA"/>
    <w:rsid w:val="00C65D04"/>
    <w:rsid w:val="00C65E94"/>
    <w:rsid w:val="00C67643"/>
    <w:rsid w:val="00C7021B"/>
    <w:rsid w:val="00C71693"/>
    <w:rsid w:val="00C720AC"/>
    <w:rsid w:val="00C725B2"/>
    <w:rsid w:val="00C73859"/>
    <w:rsid w:val="00C73ACE"/>
    <w:rsid w:val="00C749A1"/>
    <w:rsid w:val="00C75B16"/>
    <w:rsid w:val="00C75C5D"/>
    <w:rsid w:val="00C76337"/>
    <w:rsid w:val="00C77DB4"/>
    <w:rsid w:val="00C77E1F"/>
    <w:rsid w:val="00C825B4"/>
    <w:rsid w:val="00C827F5"/>
    <w:rsid w:val="00C83C4A"/>
    <w:rsid w:val="00C84A8A"/>
    <w:rsid w:val="00C85263"/>
    <w:rsid w:val="00C86314"/>
    <w:rsid w:val="00C904EB"/>
    <w:rsid w:val="00C91418"/>
    <w:rsid w:val="00C92C39"/>
    <w:rsid w:val="00C93AD1"/>
    <w:rsid w:val="00C93BB2"/>
    <w:rsid w:val="00C93CE2"/>
    <w:rsid w:val="00C945B9"/>
    <w:rsid w:val="00C951D7"/>
    <w:rsid w:val="00C956D4"/>
    <w:rsid w:val="00C95D8E"/>
    <w:rsid w:val="00CA170B"/>
    <w:rsid w:val="00CA2A74"/>
    <w:rsid w:val="00CA32A6"/>
    <w:rsid w:val="00CA3A84"/>
    <w:rsid w:val="00CA45A3"/>
    <w:rsid w:val="00CA6294"/>
    <w:rsid w:val="00CA7032"/>
    <w:rsid w:val="00CB2158"/>
    <w:rsid w:val="00CB24C7"/>
    <w:rsid w:val="00CB2950"/>
    <w:rsid w:val="00CB2EF8"/>
    <w:rsid w:val="00CB3F4E"/>
    <w:rsid w:val="00CB4785"/>
    <w:rsid w:val="00CB59CC"/>
    <w:rsid w:val="00CB6141"/>
    <w:rsid w:val="00CC10CD"/>
    <w:rsid w:val="00CC2D85"/>
    <w:rsid w:val="00CC4807"/>
    <w:rsid w:val="00CC4DFF"/>
    <w:rsid w:val="00CC5774"/>
    <w:rsid w:val="00CD1E9B"/>
    <w:rsid w:val="00CD2C43"/>
    <w:rsid w:val="00CD3A3C"/>
    <w:rsid w:val="00CD3ED2"/>
    <w:rsid w:val="00CD3FF9"/>
    <w:rsid w:val="00CD44AE"/>
    <w:rsid w:val="00CD457E"/>
    <w:rsid w:val="00CD459A"/>
    <w:rsid w:val="00CD469E"/>
    <w:rsid w:val="00CD5B4A"/>
    <w:rsid w:val="00CD67A6"/>
    <w:rsid w:val="00CE01C1"/>
    <w:rsid w:val="00CE083F"/>
    <w:rsid w:val="00CE0BEA"/>
    <w:rsid w:val="00CE0ECF"/>
    <w:rsid w:val="00CE359E"/>
    <w:rsid w:val="00CE386D"/>
    <w:rsid w:val="00CE46AD"/>
    <w:rsid w:val="00CE7029"/>
    <w:rsid w:val="00CE70C9"/>
    <w:rsid w:val="00CE7473"/>
    <w:rsid w:val="00CE7FB7"/>
    <w:rsid w:val="00CF1232"/>
    <w:rsid w:val="00CF2173"/>
    <w:rsid w:val="00CF2461"/>
    <w:rsid w:val="00CF2D7E"/>
    <w:rsid w:val="00CF3452"/>
    <w:rsid w:val="00CF390F"/>
    <w:rsid w:val="00CF4AAE"/>
    <w:rsid w:val="00CF50A6"/>
    <w:rsid w:val="00CF617E"/>
    <w:rsid w:val="00CF783C"/>
    <w:rsid w:val="00D0204A"/>
    <w:rsid w:val="00D0359E"/>
    <w:rsid w:val="00D03B64"/>
    <w:rsid w:val="00D06416"/>
    <w:rsid w:val="00D07FF8"/>
    <w:rsid w:val="00D10D59"/>
    <w:rsid w:val="00D115B9"/>
    <w:rsid w:val="00D1196F"/>
    <w:rsid w:val="00D13181"/>
    <w:rsid w:val="00D1384E"/>
    <w:rsid w:val="00D1416D"/>
    <w:rsid w:val="00D16630"/>
    <w:rsid w:val="00D16C44"/>
    <w:rsid w:val="00D16EC2"/>
    <w:rsid w:val="00D16EF9"/>
    <w:rsid w:val="00D178D4"/>
    <w:rsid w:val="00D17C6F"/>
    <w:rsid w:val="00D22BD0"/>
    <w:rsid w:val="00D23B70"/>
    <w:rsid w:val="00D2447B"/>
    <w:rsid w:val="00D30115"/>
    <w:rsid w:val="00D304F6"/>
    <w:rsid w:val="00D307A8"/>
    <w:rsid w:val="00D30B4E"/>
    <w:rsid w:val="00D31320"/>
    <w:rsid w:val="00D32010"/>
    <w:rsid w:val="00D32C56"/>
    <w:rsid w:val="00D33C4D"/>
    <w:rsid w:val="00D354FD"/>
    <w:rsid w:val="00D40A0D"/>
    <w:rsid w:val="00D410D7"/>
    <w:rsid w:val="00D43374"/>
    <w:rsid w:val="00D43943"/>
    <w:rsid w:val="00D45377"/>
    <w:rsid w:val="00D47096"/>
    <w:rsid w:val="00D4715E"/>
    <w:rsid w:val="00D4777D"/>
    <w:rsid w:val="00D47931"/>
    <w:rsid w:val="00D5002F"/>
    <w:rsid w:val="00D500EA"/>
    <w:rsid w:val="00D516D9"/>
    <w:rsid w:val="00D52126"/>
    <w:rsid w:val="00D52224"/>
    <w:rsid w:val="00D527B8"/>
    <w:rsid w:val="00D52851"/>
    <w:rsid w:val="00D53184"/>
    <w:rsid w:val="00D5363C"/>
    <w:rsid w:val="00D551B2"/>
    <w:rsid w:val="00D567F7"/>
    <w:rsid w:val="00D60CD9"/>
    <w:rsid w:val="00D61882"/>
    <w:rsid w:val="00D631B9"/>
    <w:rsid w:val="00D6718C"/>
    <w:rsid w:val="00D70D3F"/>
    <w:rsid w:val="00D7225C"/>
    <w:rsid w:val="00D722C4"/>
    <w:rsid w:val="00D73045"/>
    <w:rsid w:val="00D7476C"/>
    <w:rsid w:val="00D750A3"/>
    <w:rsid w:val="00D77C71"/>
    <w:rsid w:val="00D77D1F"/>
    <w:rsid w:val="00D803DC"/>
    <w:rsid w:val="00D80529"/>
    <w:rsid w:val="00D80C0E"/>
    <w:rsid w:val="00D80DD4"/>
    <w:rsid w:val="00D81285"/>
    <w:rsid w:val="00D81B1D"/>
    <w:rsid w:val="00D82B85"/>
    <w:rsid w:val="00D85C2E"/>
    <w:rsid w:val="00D85D21"/>
    <w:rsid w:val="00D85D46"/>
    <w:rsid w:val="00D92C22"/>
    <w:rsid w:val="00D92F55"/>
    <w:rsid w:val="00D93FCA"/>
    <w:rsid w:val="00D94330"/>
    <w:rsid w:val="00D94ADE"/>
    <w:rsid w:val="00D950C4"/>
    <w:rsid w:val="00D96417"/>
    <w:rsid w:val="00D97AEB"/>
    <w:rsid w:val="00DA02A5"/>
    <w:rsid w:val="00DA06F5"/>
    <w:rsid w:val="00DA088E"/>
    <w:rsid w:val="00DA14A6"/>
    <w:rsid w:val="00DA341E"/>
    <w:rsid w:val="00DA355A"/>
    <w:rsid w:val="00DA3650"/>
    <w:rsid w:val="00DA37A6"/>
    <w:rsid w:val="00DA3D67"/>
    <w:rsid w:val="00DA485F"/>
    <w:rsid w:val="00DA5D1E"/>
    <w:rsid w:val="00DA6BED"/>
    <w:rsid w:val="00DB0FAF"/>
    <w:rsid w:val="00DB2EB3"/>
    <w:rsid w:val="00DB53CF"/>
    <w:rsid w:val="00DB58D5"/>
    <w:rsid w:val="00DC0E39"/>
    <w:rsid w:val="00DC1775"/>
    <w:rsid w:val="00DC39EA"/>
    <w:rsid w:val="00DC54DD"/>
    <w:rsid w:val="00DC640F"/>
    <w:rsid w:val="00DC6E06"/>
    <w:rsid w:val="00DC7101"/>
    <w:rsid w:val="00DC7BAF"/>
    <w:rsid w:val="00DD01CC"/>
    <w:rsid w:val="00DD17BA"/>
    <w:rsid w:val="00DD2164"/>
    <w:rsid w:val="00DD24E4"/>
    <w:rsid w:val="00DD37A6"/>
    <w:rsid w:val="00DD487B"/>
    <w:rsid w:val="00DD503C"/>
    <w:rsid w:val="00DD5699"/>
    <w:rsid w:val="00DD7C73"/>
    <w:rsid w:val="00DE1928"/>
    <w:rsid w:val="00DE1EC9"/>
    <w:rsid w:val="00DE1F3E"/>
    <w:rsid w:val="00DE344F"/>
    <w:rsid w:val="00DE41A2"/>
    <w:rsid w:val="00DE43E3"/>
    <w:rsid w:val="00DE6772"/>
    <w:rsid w:val="00DE72CE"/>
    <w:rsid w:val="00DE7D0C"/>
    <w:rsid w:val="00DF1903"/>
    <w:rsid w:val="00DF1FA9"/>
    <w:rsid w:val="00DF349F"/>
    <w:rsid w:val="00DF4790"/>
    <w:rsid w:val="00DF55CD"/>
    <w:rsid w:val="00DF603F"/>
    <w:rsid w:val="00DF667E"/>
    <w:rsid w:val="00DF706E"/>
    <w:rsid w:val="00DF7DE1"/>
    <w:rsid w:val="00E0114D"/>
    <w:rsid w:val="00E01990"/>
    <w:rsid w:val="00E01E7C"/>
    <w:rsid w:val="00E0257E"/>
    <w:rsid w:val="00E02B4E"/>
    <w:rsid w:val="00E03243"/>
    <w:rsid w:val="00E04239"/>
    <w:rsid w:val="00E049F7"/>
    <w:rsid w:val="00E054E1"/>
    <w:rsid w:val="00E0627B"/>
    <w:rsid w:val="00E07B0E"/>
    <w:rsid w:val="00E11A45"/>
    <w:rsid w:val="00E132EE"/>
    <w:rsid w:val="00E14141"/>
    <w:rsid w:val="00E14A7C"/>
    <w:rsid w:val="00E156FD"/>
    <w:rsid w:val="00E162A0"/>
    <w:rsid w:val="00E17791"/>
    <w:rsid w:val="00E17C5E"/>
    <w:rsid w:val="00E2026C"/>
    <w:rsid w:val="00E212D8"/>
    <w:rsid w:val="00E216D9"/>
    <w:rsid w:val="00E21FFC"/>
    <w:rsid w:val="00E22C8E"/>
    <w:rsid w:val="00E22CAE"/>
    <w:rsid w:val="00E23A40"/>
    <w:rsid w:val="00E24629"/>
    <w:rsid w:val="00E24999"/>
    <w:rsid w:val="00E26443"/>
    <w:rsid w:val="00E264D9"/>
    <w:rsid w:val="00E26AB3"/>
    <w:rsid w:val="00E26EF0"/>
    <w:rsid w:val="00E300F7"/>
    <w:rsid w:val="00E30342"/>
    <w:rsid w:val="00E304A4"/>
    <w:rsid w:val="00E3061E"/>
    <w:rsid w:val="00E308D4"/>
    <w:rsid w:val="00E30A45"/>
    <w:rsid w:val="00E30D26"/>
    <w:rsid w:val="00E311AC"/>
    <w:rsid w:val="00E318B5"/>
    <w:rsid w:val="00E33E51"/>
    <w:rsid w:val="00E366BF"/>
    <w:rsid w:val="00E37032"/>
    <w:rsid w:val="00E416FE"/>
    <w:rsid w:val="00E41733"/>
    <w:rsid w:val="00E41D70"/>
    <w:rsid w:val="00E43A10"/>
    <w:rsid w:val="00E4488B"/>
    <w:rsid w:val="00E50C9E"/>
    <w:rsid w:val="00E51A70"/>
    <w:rsid w:val="00E521E7"/>
    <w:rsid w:val="00E525FD"/>
    <w:rsid w:val="00E52D15"/>
    <w:rsid w:val="00E53106"/>
    <w:rsid w:val="00E53D38"/>
    <w:rsid w:val="00E55377"/>
    <w:rsid w:val="00E5579F"/>
    <w:rsid w:val="00E55CE4"/>
    <w:rsid w:val="00E574E9"/>
    <w:rsid w:val="00E602FB"/>
    <w:rsid w:val="00E61D7B"/>
    <w:rsid w:val="00E62B75"/>
    <w:rsid w:val="00E63242"/>
    <w:rsid w:val="00E64BA9"/>
    <w:rsid w:val="00E64E08"/>
    <w:rsid w:val="00E65742"/>
    <w:rsid w:val="00E67B05"/>
    <w:rsid w:val="00E67C3D"/>
    <w:rsid w:val="00E67C8F"/>
    <w:rsid w:val="00E67CAC"/>
    <w:rsid w:val="00E70331"/>
    <w:rsid w:val="00E70E28"/>
    <w:rsid w:val="00E70F01"/>
    <w:rsid w:val="00E70F12"/>
    <w:rsid w:val="00E71B2B"/>
    <w:rsid w:val="00E721A5"/>
    <w:rsid w:val="00E734FE"/>
    <w:rsid w:val="00E75F9F"/>
    <w:rsid w:val="00E769BC"/>
    <w:rsid w:val="00E77FBE"/>
    <w:rsid w:val="00E81F64"/>
    <w:rsid w:val="00E82A75"/>
    <w:rsid w:val="00E82A7A"/>
    <w:rsid w:val="00E83271"/>
    <w:rsid w:val="00E8443F"/>
    <w:rsid w:val="00E86200"/>
    <w:rsid w:val="00E86460"/>
    <w:rsid w:val="00E8647F"/>
    <w:rsid w:val="00E86759"/>
    <w:rsid w:val="00E874D9"/>
    <w:rsid w:val="00E8759E"/>
    <w:rsid w:val="00E879CE"/>
    <w:rsid w:val="00E87B12"/>
    <w:rsid w:val="00E87B1D"/>
    <w:rsid w:val="00E90189"/>
    <w:rsid w:val="00E90D51"/>
    <w:rsid w:val="00E91520"/>
    <w:rsid w:val="00E91BD2"/>
    <w:rsid w:val="00E941E9"/>
    <w:rsid w:val="00E95D3F"/>
    <w:rsid w:val="00EA09EA"/>
    <w:rsid w:val="00EA0C94"/>
    <w:rsid w:val="00EA1BB2"/>
    <w:rsid w:val="00EA520A"/>
    <w:rsid w:val="00EA7599"/>
    <w:rsid w:val="00EB341D"/>
    <w:rsid w:val="00EB3D3A"/>
    <w:rsid w:val="00EB3FF8"/>
    <w:rsid w:val="00EB4136"/>
    <w:rsid w:val="00EB4E78"/>
    <w:rsid w:val="00EB5E93"/>
    <w:rsid w:val="00EB76D2"/>
    <w:rsid w:val="00EB7F0C"/>
    <w:rsid w:val="00EC0235"/>
    <w:rsid w:val="00EC112D"/>
    <w:rsid w:val="00EC12F6"/>
    <w:rsid w:val="00EC383B"/>
    <w:rsid w:val="00EC3C7D"/>
    <w:rsid w:val="00EC4121"/>
    <w:rsid w:val="00EC6F6C"/>
    <w:rsid w:val="00ED0F08"/>
    <w:rsid w:val="00ED131D"/>
    <w:rsid w:val="00ED2717"/>
    <w:rsid w:val="00ED2FAC"/>
    <w:rsid w:val="00ED3DF8"/>
    <w:rsid w:val="00ED45FD"/>
    <w:rsid w:val="00ED4DBC"/>
    <w:rsid w:val="00ED7E2C"/>
    <w:rsid w:val="00EE0738"/>
    <w:rsid w:val="00EE1ED3"/>
    <w:rsid w:val="00EE2172"/>
    <w:rsid w:val="00EE255A"/>
    <w:rsid w:val="00EE2820"/>
    <w:rsid w:val="00EE44BA"/>
    <w:rsid w:val="00EE4F2B"/>
    <w:rsid w:val="00EE51C9"/>
    <w:rsid w:val="00EE58DF"/>
    <w:rsid w:val="00EE6556"/>
    <w:rsid w:val="00EE6954"/>
    <w:rsid w:val="00EF0678"/>
    <w:rsid w:val="00EF16BC"/>
    <w:rsid w:val="00EF27E1"/>
    <w:rsid w:val="00EF3C59"/>
    <w:rsid w:val="00EF4D48"/>
    <w:rsid w:val="00EF65A9"/>
    <w:rsid w:val="00EF6BE0"/>
    <w:rsid w:val="00F05412"/>
    <w:rsid w:val="00F05926"/>
    <w:rsid w:val="00F07E3D"/>
    <w:rsid w:val="00F07EBF"/>
    <w:rsid w:val="00F1103F"/>
    <w:rsid w:val="00F1132D"/>
    <w:rsid w:val="00F116E7"/>
    <w:rsid w:val="00F13F05"/>
    <w:rsid w:val="00F14F9A"/>
    <w:rsid w:val="00F151DC"/>
    <w:rsid w:val="00F15D6C"/>
    <w:rsid w:val="00F164AA"/>
    <w:rsid w:val="00F168CE"/>
    <w:rsid w:val="00F17CF3"/>
    <w:rsid w:val="00F20D95"/>
    <w:rsid w:val="00F21D0A"/>
    <w:rsid w:val="00F22542"/>
    <w:rsid w:val="00F22669"/>
    <w:rsid w:val="00F2302B"/>
    <w:rsid w:val="00F23656"/>
    <w:rsid w:val="00F24928"/>
    <w:rsid w:val="00F25210"/>
    <w:rsid w:val="00F255CC"/>
    <w:rsid w:val="00F27AA0"/>
    <w:rsid w:val="00F27AF8"/>
    <w:rsid w:val="00F27DB9"/>
    <w:rsid w:val="00F3242C"/>
    <w:rsid w:val="00F40B66"/>
    <w:rsid w:val="00F40CF8"/>
    <w:rsid w:val="00F42315"/>
    <w:rsid w:val="00F42B13"/>
    <w:rsid w:val="00F42E1F"/>
    <w:rsid w:val="00F432B7"/>
    <w:rsid w:val="00F4458D"/>
    <w:rsid w:val="00F45E8F"/>
    <w:rsid w:val="00F47AE9"/>
    <w:rsid w:val="00F47E9A"/>
    <w:rsid w:val="00F506CA"/>
    <w:rsid w:val="00F50E18"/>
    <w:rsid w:val="00F54C3A"/>
    <w:rsid w:val="00F561AE"/>
    <w:rsid w:val="00F563C2"/>
    <w:rsid w:val="00F572CC"/>
    <w:rsid w:val="00F60E26"/>
    <w:rsid w:val="00F61520"/>
    <w:rsid w:val="00F6380D"/>
    <w:rsid w:val="00F65B83"/>
    <w:rsid w:val="00F668B3"/>
    <w:rsid w:val="00F678E4"/>
    <w:rsid w:val="00F707E9"/>
    <w:rsid w:val="00F70F0F"/>
    <w:rsid w:val="00F7184A"/>
    <w:rsid w:val="00F7465C"/>
    <w:rsid w:val="00F80B53"/>
    <w:rsid w:val="00F8200E"/>
    <w:rsid w:val="00F8211C"/>
    <w:rsid w:val="00F831C1"/>
    <w:rsid w:val="00F84400"/>
    <w:rsid w:val="00F85387"/>
    <w:rsid w:val="00F85593"/>
    <w:rsid w:val="00F86144"/>
    <w:rsid w:val="00F864E4"/>
    <w:rsid w:val="00F86BA9"/>
    <w:rsid w:val="00F8740C"/>
    <w:rsid w:val="00F9043F"/>
    <w:rsid w:val="00F91953"/>
    <w:rsid w:val="00F91C6A"/>
    <w:rsid w:val="00F93498"/>
    <w:rsid w:val="00F93C4C"/>
    <w:rsid w:val="00F94016"/>
    <w:rsid w:val="00F9402E"/>
    <w:rsid w:val="00F96C93"/>
    <w:rsid w:val="00F97123"/>
    <w:rsid w:val="00FA02E0"/>
    <w:rsid w:val="00FA0A61"/>
    <w:rsid w:val="00FA0C07"/>
    <w:rsid w:val="00FA153D"/>
    <w:rsid w:val="00FA225D"/>
    <w:rsid w:val="00FA2F4A"/>
    <w:rsid w:val="00FA3736"/>
    <w:rsid w:val="00FA3D0F"/>
    <w:rsid w:val="00FA4DCD"/>
    <w:rsid w:val="00FA4F20"/>
    <w:rsid w:val="00FA50A3"/>
    <w:rsid w:val="00FA53FA"/>
    <w:rsid w:val="00FA5773"/>
    <w:rsid w:val="00FA5993"/>
    <w:rsid w:val="00FA73B8"/>
    <w:rsid w:val="00FA7627"/>
    <w:rsid w:val="00FA7724"/>
    <w:rsid w:val="00FA79EB"/>
    <w:rsid w:val="00FB08F3"/>
    <w:rsid w:val="00FB0EA7"/>
    <w:rsid w:val="00FB2343"/>
    <w:rsid w:val="00FB2B81"/>
    <w:rsid w:val="00FB2DBF"/>
    <w:rsid w:val="00FB306E"/>
    <w:rsid w:val="00FB373C"/>
    <w:rsid w:val="00FB38A2"/>
    <w:rsid w:val="00FB3BDB"/>
    <w:rsid w:val="00FB4521"/>
    <w:rsid w:val="00FB4B13"/>
    <w:rsid w:val="00FB73B0"/>
    <w:rsid w:val="00FB7888"/>
    <w:rsid w:val="00FB7F68"/>
    <w:rsid w:val="00FC0303"/>
    <w:rsid w:val="00FC07B3"/>
    <w:rsid w:val="00FC0CC9"/>
    <w:rsid w:val="00FC2ABC"/>
    <w:rsid w:val="00FC342F"/>
    <w:rsid w:val="00FC375E"/>
    <w:rsid w:val="00FC3D7C"/>
    <w:rsid w:val="00FC482A"/>
    <w:rsid w:val="00FC666C"/>
    <w:rsid w:val="00FC694A"/>
    <w:rsid w:val="00FC7A0C"/>
    <w:rsid w:val="00FC7AF8"/>
    <w:rsid w:val="00FD112B"/>
    <w:rsid w:val="00FD13BE"/>
    <w:rsid w:val="00FD16D3"/>
    <w:rsid w:val="00FD238B"/>
    <w:rsid w:val="00FD3149"/>
    <w:rsid w:val="00FD3E11"/>
    <w:rsid w:val="00FD4AC0"/>
    <w:rsid w:val="00FD6757"/>
    <w:rsid w:val="00FD762A"/>
    <w:rsid w:val="00FE24AB"/>
    <w:rsid w:val="00FE2D9E"/>
    <w:rsid w:val="00FE304B"/>
    <w:rsid w:val="00FE6989"/>
    <w:rsid w:val="00FE73C6"/>
    <w:rsid w:val="00FF11CC"/>
    <w:rsid w:val="00FF3DC1"/>
    <w:rsid w:val="00FF599F"/>
    <w:rsid w:val="00FF6932"/>
    <w:rsid w:val="00FF7A24"/>
    <w:rsid w:val="00FF7D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8D4"/>
  </w:style>
  <w:style w:type="paragraph" w:styleId="Heading1">
    <w:name w:val="heading 1"/>
    <w:basedOn w:val="Normal"/>
    <w:next w:val="Normal"/>
    <w:link w:val="Heading1Char"/>
    <w:uiPriority w:val="9"/>
    <w:qFormat/>
    <w:rsid w:val="009E3CA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E3CA8"/>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9E3CA8"/>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3CA8"/>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9E3CA8"/>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9E3CA8"/>
    <w:rPr>
      <w:rFonts w:asciiTheme="majorHAnsi" w:eastAsiaTheme="majorEastAsia" w:hAnsiTheme="majorHAnsi" w:cstheme="majorBidi"/>
      <w:b/>
      <w:bCs/>
      <w:color w:val="5B9BD5" w:themeColor="accent1"/>
    </w:rPr>
  </w:style>
  <w:style w:type="paragraph" w:styleId="Header">
    <w:name w:val="header"/>
    <w:basedOn w:val="Normal"/>
    <w:link w:val="HeaderChar"/>
    <w:uiPriority w:val="99"/>
    <w:unhideWhenUsed/>
    <w:rsid w:val="00E306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61E"/>
  </w:style>
  <w:style w:type="paragraph" w:styleId="Footer">
    <w:name w:val="footer"/>
    <w:basedOn w:val="Normal"/>
    <w:link w:val="FooterChar"/>
    <w:uiPriority w:val="99"/>
    <w:unhideWhenUsed/>
    <w:rsid w:val="00E30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61E"/>
  </w:style>
  <w:style w:type="paragraph" w:styleId="ListParagraph">
    <w:name w:val="List Paragraph"/>
    <w:basedOn w:val="Normal"/>
    <w:uiPriority w:val="34"/>
    <w:qFormat/>
    <w:rsid w:val="00F93498"/>
    <w:pPr>
      <w:ind w:left="720"/>
      <w:contextualSpacing/>
    </w:pPr>
  </w:style>
  <w:style w:type="table" w:styleId="TableGrid">
    <w:name w:val="Table Grid"/>
    <w:basedOn w:val="TableNormal"/>
    <w:uiPriority w:val="39"/>
    <w:rsid w:val="001C30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5Dark-Accent31">
    <w:name w:val="Grid Table 5 Dark - Accent 31"/>
    <w:basedOn w:val="TableNormal"/>
    <w:uiPriority w:val="50"/>
    <w:rsid w:val="00E37032"/>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6Colorful1">
    <w:name w:val="Grid Table 6 Colorful1"/>
    <w:basedOn w:val="TableNormal"/>
    <w:uiPriority w:val="51"/>
    <w:rsid w:val="00581F5E"/>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5834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348A"/>
    <w:rPr>
      <w:rFonts w:ascii="Tahoma" w:hAnsi="Tahoma" w:cs="Tahoma"/>
      <w:sz w:val="16"/>
      <w:szCs w:val="16"/>
    </w:rPr>
  </w:style>
  <w:style w:type="character" w:styleId="Hyperlink">
    <w:name w:val="Hyperlink"/>
    <w:basedOn w:val="DefaultParagraphFont"/>
    <w:uiPriority w:val="99"/>
    <w:unhideWhenUsed/>
    <w:rsid w:val="0056755E"/>
    <w:rPr>
      <w:color w:val="0563C1" w:themeColor="hyperlink"/>
      <w:u w:val="single"/>
    </w:rPr>
  </w:style>
  <w:style w:type="character" w:customStyle="1" w:styleId="value">
    <w:name w:val="value"/>
    <w:basedOn w:val="DefaultParagraphFont"/>
    <w:rsid w:val="00A94E36"/>
  </w:style>
  <w:style w:type="character" w:styleId="Strong">
    <w:name w:val="Strong"/>
    <w:basedOn w:val="DefaultParagraphFont"/>
    <w:uiPriority w:val="22"/>
    <w:qFormat/>
    <w:rsid w:val="009B254A"/>
    <w:rPr>
      <w:b/>
      <w:bCs/>
    </w:rPr>
  </w:style>
  <w:style w:type="character" w:customStyle="1" w:styleId="e24kjd">
    <w:name w:val="e24kjd"/>
    <w:basedOn w:val="DefaultParagraphFont"/>
    <w:rsid w:val="00B45B6D"/>
  </w:style>
  <w:style w:type="paragraph" w:styleId="TOCHeading">
    <w:name w:val="TOC Heading"/>
    <w:basedOn w:val="Heading1"/>
    <w:next w:val="Normal"/>
    <w:uiPriority w:val="39"/>
    <w:semiHidden/>
    <w:unhideWhenUsed/>
    <w:qFormat/>
    <w:rsid w:val="00171C0D"/>
    <w:pPr>
      <w:spacing w:line="276" w:lineRule="auto"/>
      <w:outlineLvl w:val="9"/>
    </w:pPr>
  </w:style>
  <w:style w:type="paragraph" w:styleId="TOC1">
    <w:name w:val="toc 1"/>
    <w:basedOn w:val="Normal"/>
    <w:next w:val="Normal"/>
    <w:autoRedefine/>
    <w:uiPriority w:val="39"/>
    <w:unhideWhenUsed/>
    <w:rsid w:val="00171C0D"/>
    <w:pPr>
      <w:spacing w:after="100"/>
    </w:pPr>
  </w:style>
  <w:style w:type="paragraph" w:styleId="TOC2">
    <w:name w:val="toc 2"/>
    <w:basedOn w:val="Normal"/>
    <w:next w:val="Normal"/>
    <w:autoRedefine/>
    <w:uiPriority w:val="39"/>
    <w:unhideWhenUsed/>
    <w:rsid w:val="00171C0D"/>
    <w:pPr>
      <w:spacing w:after="100"/>
      <w:ind w:left="240"/>
    </w:pPr>
  </w:style>
  <w:style w:type="paragraph" w:styleId="TOC3">
    <w:name w:val="toc 3"/>
    <w:basedOn w:val="Normal"/>
    <w:next w:val="Normal"/>
    <w:autoRedefine/>
    <w:uiPriority w:val="39"/>
    <w:unhideWhenUsed/>
    <w:rsid w:val="00171C0D"/>
    <w:pPr>
      <w:spacing w:after="100"/>
      <w:ind w:left="480"/>
    </w:pPr>
  </w:style>
  <w:style w:type="character" w:customStyle="1" w:styleId="new-items">
    <w:name w:val="new-items"/>
    <w:basedOn w:val="DefaultParagraphFont"/>
    <w:rsid w:val="00BB2269"/>
  </w:style>
  <w:style w:type="character" w:customStyle="1" w:styleId="screenreader-only">
    <w:name w:val="screenreader-only"/>
    <w:basedOn w:val="DefaultParagraphFont"/>
    <w:rsid w:val="00BB2269"/>
  </w:style>
  <w:style w:type="character" w:customStyle="1" w:styleId="total-items">
    <w:name w:val="total-items"/>
    <w:basedOn w:val="DefaultParagraphFont"/>
    <w:rsid w:val="00BB2269"/>
  </w:style>
  <w:style w:type="paragraph" w:styleId="Caption">
    <w:name w:val="caption"/>
    <w:basedOn w:val="Normal"/>
    <w:next w:val="Normal"/>
    <w:uiPriority w:val="35"/>
    <w:unhideWhenUsed/>
    <w:qFormat/>
    <w:rsid w:val="00BB2269"/>
    <w:pPr>
      <w:spacing w:after="200" w:line="240" w:lineRule="auto"/>
    </w:pPr>
    <w:rPr>
      <w:rFonts w:asciiTheme="minorHAnsi" w:hAnsiTheme="minorHAnsi"/>
      <w:b/>
      <w:bCs/>
      <w:color w:val="5B9BD5" w:themeColor="accent1"/>
      <w:sz w:val="18"/>
      <w:szCs w:val="18"/>
    </w:rPr>
  </w:style>
  <w:style w:type="table" w:styleId="LightShading-Accent3">
    <w:name w:val="Light Shading Accent 3"/>
    <w:basedOn w:val="TableNormal"/>
    <w:uiPriority w:val="60"/>
    <w:rsid w:val="00667322"/>
    <w:pPr>
      <w:spacing w:after="0" w:line="240" w:lineRule="auto"/>
    </w:pPr>
    <w:rPr>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LightShading-Accent11">
    <w:name w:val="Light Shading - Accent 11"/>
    <w:basedOn w:val="TableNormal"/>
    <w:uiPriority w:val="60"/>
    <w:rsid w:val="00667322"/>
    <w:pPr>
      <w:spacing w:after="0" w:line="240" w:lineRule="auto"/>
    </w:pPr>
    <w:rPr>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s>
</file>

<file path=word/webSettings.xml><?xml version="1.0" encoding="utf-8"?>
<w:webSettings xmlns:r="http://schemas.openxmlformats.org/officeDocument/2006/relationships" xmlns:w="http://schemas.openxmlformats.org/wordprocessingml/2006/main">
  <w:divs>
    <w:div w:id="37051496">
      <w:bodyDiv w:val="1"/>
      <w:marLeft w:val="0"/>
      <w:marRight w:val="0"/>
      <w:marTop w:val="0"/>
      <w:marBottom w:val="0"/>
      <w:divBdr>
        <w:top w:val="none" w:sz="0" w:space="0" w:color="auto"/>
        <w:left w:val="none" w:sz="0" w:space="0" w:color="auto"/>
        <w:bottom w:val="none" w:sz="0" w:space="0" w:color="auto"/>
        <w:right w:val="none" w:sz="0" w:space="0" w:color="auto"/>
      </w:divBdr>
      <w:divsChild>
        <w:div w:id="2108311550">
          <w:marLeft w:val="0"/>
          <w:marRight w:val="0"/>
          <w:marTop w:val="0"/>
          <w:marBottom w:val="0"/>
          <w:divBdr>
            <w:top w:val="none" w:sz="0" w:space="0" w:color="auto"/>
            <w:left w:val="none" w:sz="0" w:space="0" w:color="auto"/>
            <w:bottom w:val="none" w:sz="0" w:space="0" w:color="auto"/>
            <w:right w:val="none" w:sz="0" w:space="0" w:color="auto"/>
          </w:divBdr>
        </w:div>
      </w:divsChild>
    </w:div>
    <w:div w:id="182476926">
      <w:bodyDiv w:val="1"/>
      <w:marLeft w:val="0"/>
      <w:marRight w:val="0"/>
      <w:marTop w:val="0"/>
      <w:marBottom w:val="0"/>
      <w:divBdr>
        <w:top w:val="none" w:sz="0" w:space="0" w:color="auto"/>
        <w:left w:val="none" w:sz="0" w:space="0" w:color="auto"/>
        <w:bottom w:val="none" w:sz="0" w:space="0" w:color="auto"/>
        <w:right w:val="none" w:sz="0" w:space="0" w:color="auto"/>
      </w:divBdr>
      <w:divsChild>
        <w:div w:id="1084574922">
          <w:marLeft w:val="0"/>
          <w:marRight w:val="0"/>
          <w:marTop w:val="0"/>
          <w:marBottom w:val="0"/>
          <w:divBdr>
            <w:top w:val="none" w:sz="0" w:space="0" w:color="auto"/>
            <w:left w:val="none" w:sz="0" w:space="0" w:color="auto"/>
            <w:bottom w:val="none" w:sz="0" w:space="0" w:color="auto"/>
            <w:right w:val="none" w:sz="0" w:space="0" w:color="auto"/>
          </w:divBdr>
        </w:div>
      </w:divsChild>
    </w:div>
    <w:div w:id="363867758">
      <w:bodyDiv w:val="1"/>
      <w:marLeft w:val="0"/>
      <w:marRight w:val="0"/>
      <w:marTop w:val="0"/>
      <w:marBottom w:val="0"/>
      <w:divBdr>
        <w:top w:val="none" w:sz="0" w:space="0" w:color="auto"/>
        <w:left w:val="none" w:sz="0" w:space="0" w:color="auto"/>
        <w:bottom w:val="none" w:sz="0" w:space="0" w:color="auto"/>
        <w:right w:val="none" w:sz="0" w:space="0" w:color="auto"/>
      </w:divBdr>
      <w:divsChild>
        <w:div w:id="1050035512">
          <w:marLeft w:val="0"/>
          <w:marRight w:val="0"/>
          <w:marTop w:val="0"/>
          <w:marBottom w:val="0"/>
          <w:divBdr>
            <w:top w:val="none" w:sz="0" w:space="0" w:color="auto"/>
            <w:left w:val="none" w:sz="0" w:space="0" w:color="auto"/>
            <w:bottom w:val="none" w:sz="0" w:space="0" w:color="auto"/>
            <w:right w:val="none" w:sz="0" w:space="0" w:color="auto"/>
          </w:divBdr>
        </w:div>
      </w:divsChild>
    </w:div>
    <w:div w:id="393696531">
      <w:bodyDiv w:val="1"/>
      <w:marLeft w:val="0"/>
      <w:marRight w:val="0"/>
      <w:marTop w:val="0"/>
      <w:marBottom w:val="0"/>
      <w:divBdr>
        <w:top w:val="none" w:sz="0" w:space="0" w:color="auto"/>
        <w:left w:val="none" w:sz="0" w:space="0" w:color="auto"/>
        <w:bottom w:val="none" w:sz="0" w:space="0" w:color="auto"/>
        <w:right w:val="none" w:sz="0" w:space="0" w:color="auto"/>
      </w:divBdr>
      <w:divsChild>
        <w:div w:id="1314796321">
          <w:marLeft w:val="0"/>
          <w:marRight w:val="0"/>
          <w:marTop w:val="0"/>
          <w:marBottom w:val="0"/>
          <w:divBdr>
            <w:top w:val="none" w:sz="0" w:space="0" w:color="auto"/>
            <w:left w:val="none" w:sz="0" w:space="0" w:color="auto"/>
            <w:bottom w:val="none" w:sz="0" w:space="0" w:color="auto"/>
            <w:right w:val="none" w:sz="0" w:space="0" w:color="auto"/>
          </w:divBdr>
        </w:div>
      </w:divsChild>
    </w:div>
    <w:div w:id="512570340">
      <w:bodyDiv w:val="1"/>
      <w:marLeft w:val="0"/>
      <w:marRight w:val="0"/>
      <w:marTop w:val="0"/>
      <w:marBottom w:val="0"/>
      <w:divBdr>
        <w:top w:val="none" w:sz="0" w:space="0" w:color="auto"/>
        <w:left w:val="none" w:sz="0" w:space="0" w:color="auto"/>
        <w:bottom w:val="none" w:sz="0" w:space="0" w:color="auto"/>
        <w:right w:val="none" w:sz="0" w:space="0" w:color="auto"/>
      </w:divBdr>
    </w:div>
    <w:div w:id="617301069">
      <w:bodyDiv w:val="1"/>
      <w:marLeft w:val="0"/>
      <w:marRight w:val="0"/>
      <w:marTop w:val="0"/>
      <w:marBottom w:val="0"/>
      <w:divBdr>
        <w:top w:val="none" w:sz="0" w:space="0" w:color="auto"/>
        <w:left w:val="none" w:sz="0" w:space="0" w:color="auto"/>
        <w:bottom w:val="none" w:sz="0" w:space="0" w:color="auto"/>
        <w:right w:val="none" w:sz="0" w:space="0" w:color="auto"/>
      </w:divBdr>
      <w:divsChild>
        <w:div w:id="1681733253">
          <w:marLeft w:val="0"/>
          <w:marRight w:val="0"/>
          <w:marTop w:val="0"/>
          <w:marBottom w:val="0"/>
          <w:divBdr>
            <w:top w:val="none" w:sz="0" w:space="0" w:color="auto"/>
            <w:left w:val="none" w:sz="0" w:space="0" w:color="auto"/>
            <w:bottom w:val="none" w:sz="0" w:space="0" w:color="auto"/>
            <w:right w:val="none" w:sz="0" w:space="0" w:color="auto"/>
          </w:divBdr>
        </w:div>
      </w:divsChild>
    </w:div>
    <w:div w:id="1006329380">
      <w:bodyDiv w:val="1"/>
      <w:marLeft w:val="0"/>
      <w:marRight w:val="0"/>
      <w:marTop w:val="0"/>
      <w:marBottom w:val="0"/>
      <w:divBdr>
        <w:top w:val="none" w:sz="0" w:space="0" w:color="auto"/>
        <w:left w:val="none" w:sz="0" w:space="0" w:color="auto"/>
        <w:bottom w:val="none" w:sz="0" w:space="0" w:color="auto"/>
        <w:right w:val="none" w:sz="0" w:space="0" w:color="auto"/>
      </w:divBdr>
      <w:divsChild>
        <w:div w:id="1611207002">
          <w:marLeft w:val="0"/>
          <w:marRight w:val="0"/>
          <w:marTop w:val="0"/>
          <w:marBottom w:val="0"/>
          <w:divBdr>
            <w:top w:val="none" w:sz="0" w:space="0" w:color="auto"/>
            <w:left w:val="none" w:sz="0" w:space="0" w:color="auto"/>
            <w:bottom w:val="none" w:sz="0" w:space="0" w:color="auto"/>
            <w:right w:val="none" w:sz="0" w:space="0" w:color="auto"/>
          </w:divBdr>
        </w:div>
      </w:divsChild>
    </w:div>
    <w:div w:id="1527861735">
      <w:bodyDiv w:val="1"/>
      <w:marLeft w:val="0"/>
      <w:marRight w:val="0"/>
      <w:marTop w:val="0"/>
      <w:marBottom w:val="0"/>
      <w:divBdr>
        <w:top w:val="none" w:sz="0" w:space="0" w:color="auto"/>
        <w:left w:val="none" w:sz="0" w:space="0" w:color="auto"/>
        <w:bottom w:val="none" w:sz="0" w:space="0" w:color="auto"/>
        <w:right w:val="none" w:sz="0" w:space="0" w:color="auto"/>
      </w:divBdr>
      <w:divsChild>
        <w:div w:id="991981828">
          <w:marLeft w:val="0"/>
          <w:marRight w:val="0"/>
          <w:marTop w:val="0"/>
          <w:marBottom w:val="0"/>
          <w:divBdr>
            <w:top w:val="none" w:sz="0" w:space="0" w:color="auto"/>
            <w:left w:val="none" w:sz="0" w:space="0" w:color="auto"/>
            <w:bottom w:val="none" w:sz="0" w:space="0" w:color="auto"/>
            <w:right w:val="none" w:sz="0" w:space="0" w:color="auto"/>
          </w:divBdr>
        </w:div>
      </w:divsChild>
    </w:div>
    <w:div w:id="1615864209">
      <w:bodyDiv w:val="1"/>
      <w:marLeft w:val="0"/>
      <w:marRight w:val="0"/>
      <w:marTop w:val="0"/>
      <w:marBottom w:val="0"/>
      <w:divBdr>
        <w:top w:val="none" w:sz="0" w:space="0" w:color="auto"/>
        <w:left w:val="none" w:sz="0" w:space="0" w:color="auto"/>
        <w:bottom w:val="none" w:sz="0" w:space="0" w:color="auto"/>
        <w:right w:val="none" w:sz="0" w:space="0" w:color="auto"/>
      </w:divBdr>
      <w:divsChild>
        <w:div w:id="1326399678">
          <w:marLeft w:val="0"/>
          <w:marRight w:val="0"/>
          <w:marTop w:val="0"/>
          <w:marBottom w:val="0"/>
          <w:divBdr>
            <w:top w:val="none" w:sz="0" w:space="0" w:color="auto"/>
            <w:left w:val="none" w:sz="0" w:space="0" w:color="auto"/>
            <w:bottom w:val="none" w:sz="0" w:space="0" w:color="auto"/>
            <w:right w:val="none" w:sz="0" w:space="0" w:color="auto"/>
          </w:divBdr>
        </w:div>
      </w:divsChild>
    </w:div>
    <w:div w:id="1644382257">
      <w:bodyDiv w:val="1"/>
      <w:marLeft w:val="0"/>
      <w:marRight w:val="0"/>
      <w:marTop w:val="0"/>
      <w:marBottom w:val="0"/>
      <w:divBdr>
        <w:top w:val="none" w:sz="0" w:space="0" w:color="auto"/>
        <w:left w:val="none" w:sz="0" w:space="0" w:color="auto"/>
        <w:bottom w:val="none" w:sz="0" w:space="0" w:color="auto"/>
        <w:right w:val="none" w:sz="0" w:space="0" w:color="auto"/>
      </w:divBdr>
      <w:divsChild>
        <w:div w:id="2014796632">
          <w:marLeft w:val="0"/>
          <w:marRight w:val="0"/>
          <w:marTop w:val="0"/>
          <w:marBottom w:val="0"/>
          <w:divBdr>
            <w:top w:val="none" w:sz="0" w:space="0" w:color="auto"/>
            <w:left w:val="none" w:sz="0" w:space="0" w:color="auto"/>
            <w:bottom w:val="none" w:sz="0" w:space="0" w:color="auto"/>
            <w:right w:val="none" w:sz="0" w:space="0" w:color="auto"/>
          </w:divBdr>
        </w:div>
      </w:divsChild>
    </w:div>
    <w:div w:id="1801419850">
      <w:bodyDiv w:val="1"/>
      <w:marLeft w:val="0"/>
      <w:marRight w:val="0"/>
      <w:marTop w:val="0"/>
      <w:marBottom w:val="0"/>
      <w:divBdr>
        <w:top w:val="none" w:sz="0" w:space="0" w:color="auto"/>
        <w:left w:val="none" w:sz="0" w:space="0" w:color="auto"/>
        <w:bottom w:val="none" w:sz="0" w:space="0" w:color="auto"/>
        <w:right w:val="none" w:sz="0" w:space="0" w:color="auto"/>
      </w:divBdr>
      <w:divsChild>
        <w:div w:id="331295951">
          <w:marLeft w:val="0"/>
          <w:marRight w:val="0"/>
          <w:marTop w:val="0"/>
          <w:marBottom w:val="0"/>
          <w:divBdr>
            <w:top w:val="none" w:sz="0" w:space="0" w:color="auto"/>
            <w:left w:val="none" w:sz="0" w:space="0" w:color="auto"/>
            <w:bottom w:val="none" w:sz="0" w:space="0" w:color="auto"/>
            <w:right w:val="none" w:sz="0" w:space="0" w:color="auto"/>
          </w:divBdr>
        </w:div>
        <w:div w:id="637998158">
          <w:marLeft w:val="0"/>
          <w:marRight w:val="0"/>
          <w:marTop w:val="0"/>
          <w:marBottom w:val="0"/>
          <w:divBdr>
            <w:top w:val="none" w:sz="0" w:space="0" w:color="auto"/>
            <w:left w:val="none" w:sz="0" w:space="0" w:color="auto"/>
            <w:bottom w:val="none" w:sz="0" w:space="0" w:color="auto"/>
            <w:right w:val="none" w:sz="0" w:space="0" w:color="auto"/>
          </w:divBdr>
        </w:div>
        <w:div w:id="58595466">
          <w:marLeft w:val="0"/>
          <w:marRight w:val="0"/>
          <w:marTop w:val="0"/>
          <w:marBottom w:val="0"/>
          <w:divBdr>
            <w:top w:val="none" w:sz="0" w:space="0" w:color="auto"/>
            <w:left w:val="none" w:sz="0" w:space="0" w:color="auto"/>
            <w:bottom w:val="none" w:sz="0" w:space="0" w:color="auto"/>
            <w:right w:val="none" w:sz="0" w:space="0" w:color="auto"/>
          </w:divBdr>
        </w:div>
      </w:divsChild>
    </w:div>
    <w:div w:id="1955675911">
      <w:bodyDiv w:val="1"/>
      <w:marLeft w:val="0"/>
      <w:marRight w:val="0"/>
      <w:marTop w:val="0"/>
      <w:marBottom w:val="0"/>
      <w:divBdr>
        <w:top w:val="none" w:sz="0" w:space="0" w:color="auto"/>
        <w:left w:val="none" w:sz="0" w:space="0" w:color="auto"/>
        <w:bottom w:val="none" w:sz="0" w:space="0" w:color="auto"/>
        <w:right w:val="none" w:sz="0" w:space="0" w:color="auto"/>
      </w:divBdr>
      <w:divsChild>
        <w:div w:id="60295538">
          <w:marLeft w:val="0"/>
          <w:marRight w:val="0"/>
          <w:marTop w:val="0"/>
          <w:marBottom w:val="0"/>
          <w:divBdr>
            <w:top w:val="none" w:sz="0" w:space="0" w:color="auto"/>
            <w:left w:val="none" w:sz="0" w:space="0" w:color="auto"/>
            <w:bottom w:val="none" w:sz="0" w:space="0" w:color="auto"/>
            <w:right w:val="none" w:sz="0" w:space="0" w:color="auto"/>
          </w:divBdr>
        </w:div>
      </w:divsChild>
    </w:div>
    <w:div w:id="2038004393">
      <w:bodyDiv w:val="1"/>
      <w:marLeft w:val="0"/>
      <w:marRight w:val="0"/>
      <w:marTop w:val="0"/>
      <w:marBottom w:val="0"/>
      <w:divBdr>
        <w:top w:val="none" w:sz="0" w:space="0" w:color="auto"/>
        <w:left w:val="none" w:sz="0" w:space="0" w:color="auto"/>
        <w:bottom w:val="none" w:sz="0" w:space="0" w:color="auto"/>
        <w:right w:val="none" w:sz="0" w:space="0" w:color="auto"/>
      </w:divBdr>
      <w:divsChild>
        <w:div w:id="144400587">
          <w:marLeft w:val="0"/>
          <w:marRight w:val="0"/>
          <w:marTop w:val="0"/>
          <w:marBottom w:val="0"/>
          <w:divBdr>
            <w:top w:val="none" w:sz="0" w:space="0" w:color="auto"/>
            <w:left w:val="none" w:sz="0" w:space="0" w:color="auto"/>
            <w:bottom w:val="none" w:sz="0" w:space="0" w:color="auto"/>
            <w:right w:val="none" w:sz="0" w:space="0" w:color="auto"/>
          </w:divBdr>
        </w:div>
      </w:divsChild>
    </w:div>
    <w:div w:id="2086609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2.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view3D>
      <c:rotX val="75"/>
      <c:perspective val="30"/>
    </c:view3D>
    <c:plotArea>
      <c:layout/>
      <c:pie3DChart>
        <c:varyColors val="1"/>
        <c:ser>
          <c:idx val="0"/>
          <c:order val="0"/>
          <c:tx>
            <c:strRef>
              <c:f>Sheet1!$B$1</c:f>
              <c:strCache>
                <c:ptCount val="1"/>
                <c:pt idx="0">
                  <c:v>Nationalities Distribution of the Study Participants</c:v>
                </c:pt>
              </c:strCache>
            </c:strRef>
          </c:tx>
          <c:explosion val="25"/>
          <c:dLbls>
            <c:showVal val="1"/>
            <c:showLeaderLines val="1"/>
          </c:dLbls>
          <c:cat>
            <c:strRef>
              <c:f>Sheet1!$A$2:$A$8</c:f>
              <c:strCache>
                <c:ptCount val="7"/>
                <c:pt idx="0">
                  <c:v>Qatari</c:v>
                </c:pt>
                <c:pt idx="1">
                  <c:v>Egyptian</c:v>
                </c:pt>
                <c:pt idx="2">
                  <c:v>Pakistan</c:v>
                </c:pt>
                <c:pt idx="3">
                  <c:v>Jordesian</c:v>
                </c:pt>
                <c:pt idx="4">
                  <c:v>Filipino</c:v>
                </c:pt>
                <c:pt idx="5">
                  <c:v>Indian</c:v>
                </c:pt>
                <c:pt idx="6">
                  <c:v>Others</c:v>
                </c:pt>
              </c:strCache>
            </c:strRef>
          </c:cat>
          <c:val>
            <c:numRef>
              <c:f>Sheet1!$B$2:$B$8</c:f>
              <c:numCache>
                <c:formatCode>0%</c:formatCode>
                <c:ptCount val="7"/>
                <c:pt idx="0">
                  <c:v>0.12000000000000002</c:v>
                </c:pt>
                <c:pt idx="1">
                  <c:v>0.1</c:v>
                </c:pt>
                <c:pt idx="2">
                  <c:v>0.11000000000000003</c:v>
                </c:pt>
                <c:pt idx="3">
                  <c:v>0.11000000000000003</c:v>
                </c:pt>
                <c:pt idx="4">
                  <c:v>0.14000000000000001</c:v>
                </c:pt>
                <c:pt idx="5">
                  <c:v>0.18000000000000019</c:v>
                </c:pt>
                <c:pt idx="6">
                  <c:v>0.24000000000000019</c:v>
                </c:pt>
              </c:numCache>
            </c:numRef>
          </c:val>
        </c:ser>
      </c:pie3DChart>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plotArea>
      <c:layout/>
      <c:pieChart>
        <c:varyColors val="1"/>
        <c:ser>
          <c:idx val="0"/>
          <c:order val="0"/>
          <c:tx>
            <c:strRef>
              <c:f>Sheet1!$B$1</c:f>
              <c:strCache>
                <c:ptCount val="1"/>
                <c:pt idx="0">
                  <c:v>Distribution of Diagnosis</c:v>
                </c:pt>
              </c:strCache>
            </c:strRef>
          </c:tx>
          <c:dLbls>
            <c:showVal val="1"/>
            <c:showLeaderLines val="1"/>
          </c:dLbls>
          <c:cat>
            <c:strRef>
              <c:f>Sheet1!$A$2:$A$8</c:f>
              <c:strCache>
                <c:ptCount val="7"/>
                <c:pt idx="0">
                  <c:v>Cholecystitis</c:v>
                </c:pt>
                <c:pt idx="1">
                  <c:v>Calculus Cholecystitis</c:v>
                </c:pt>
                <c:pt idx="2">
                  <c:v>Foot Abscess</c:v>
                </c:pt>
                <c:pt idx="3">
                  <c:v>Appendectomy</c:v>
                </c:pt>
                <c:pt idx="4">
                  <c:v>diabetic foot infection</c:v>
                </c:pt>
                <c:pt idx="5">
                  <c:v>Perforated duodenal ulcer</c:v>
                </c:pt>
                <c:pt idx="6">
                  <c:v>others</c:v>
                </c:pt>
              </c:strCache>
            </c:strRef>
          </c:cat>
          <c:val>
            <c:numRef>
              <c:f>Sheet1!$B$2:$B$8</c:f>
              <c:numCache>
                <c:formatCode>0%</c:formatCode>
                <c:ptCount val="7"/>
                <c:pt idx="0">
                  <c:v>0.22</c:v>
                </c:pt>
                <c:pt idx="1">
                  <c:v>0.05</c:v>
                </c:pt>
                <c:pt idx="2">
                  <c:v>8.0000000000000043E-2</c:v>
                </c:pt>
                <c:pt idx="3">
                  <c:v>7.0000000000000021E-2</c:v>
                </c:pt>
                <c:pt idx="4">
                  <c:v>0.05</c:v>
                </c:pt>
                <c:pt idx="5">
                  <c:v>0.05</c:v>
                </c:pt>
                <c:pt idx="6">
                  <c:v>0.48000000000000032</c:v>
                </c:pt>
              </c:numCache>
            </c:numRef>
          </c:val>
        </c:ser>
        <c:firstSliceAng val="0"/>
      </c:pieChart>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plotArea>
      <c:layout/>
      <c:barChart>
        <c:barDir val="col"/>
        <c:grouping val="clustered"/>
        <c:ser>
          <c:idx val="0"/>
          <c:order val="0"/>
          <c:tx>
            <c:strRef>
              <c:f>Sheet1!$B$1</c:f>
              <c:strCache>
                <c:ptCount val="1"/>
                <c:pt idx="0">
                  <c:v>Percentage prevalence of the medication errors</c:v>
                </c:pt>
              </c:strCache>
            </c:strRef>
          </c:tx>
          <c:cat>
            <c:strRef>
              <c:f>Sheet1!$A$2:$A$6</c:f>
              <c:strCache>
                <c:ptCount val="5"/>
                <c:pt idx="0">
                  <c:v>Omission Error</c:v>
                </c:pt>
                <c:pt idx="1">
                  <c:v>Modification of dose, frequency, or route</c:v>
                </c:pt>
                <c:pt idx="2">
                  <c:v>therapuetic duplication</c:v>
                </c:pt>
                <c:pt idx="3">
                  <c:v>Drug interaction</c:v>
                </c:pt>
                <c:pt idx="4">
                  <c:v>Incorrect drug</c:v>
                </c:pt>
              </c:strCache>
            </c:strRef>
          </c:cat>
          <c:val>
            <c:numRef>
              <c:f>Sheet1!$B$2:$B$6</c:f>
              <c:numCache>
                <c:formatCode>0%</c:formatCode>
                <c:ptCount val="5"/>
                <c:pt idx="0">
                  <c:v>0.42000000000000032</c:v>
                </c:pt>
                <c:pt idx="1">
                  <c:v>0.16</c:v>
                </c:pt>
                <c:pt idx="2" formatCode="0.00%">
                  <c:v>9.5000000000000043E-2</c:v>
                </c:pt>
                <c:pt idx="3" formatCode="0.00%">
                  <c:v>0.115</c:v>
                </c:pt>
                <c:pt idx="4">
                  <c:v>0.21000000000000021</c:v>
                </c:pt>
              </c:numCache>
            </c:numRef>
          </c:val>
        </c:ser>
        <c:axId val="84826368"/>
        <c:axId val="84828160"/>
      </c:barChart>
      <c:catAx>
        <c:axId val="84826368"/>
        <c:scaling>
          <c:orientation val="minMax"/>
        </c:scaling>
        <c:axPos val="b"/>
        <c:numFmt formatCode="General" sourceLinked="0"/>
        <c:tickLblPos val="nextTo"/>
        <c:crossAx val="84828160"/>
        <c:crosses val="autoZero"/>
        <c:auto val="1"/>
        <c:lblAlgn val="ctr"/>
        <c:lblOffset val="100"/>
      </c:catAx>
      <c:valAx>
        <c:axId val="84828160"/>
        <c:scaling>
          <c:orientation val="minMax"/>
        </c:scaling>
        <c:axPos val="l"/>
        <c:majorGridlines/>
        <c:title>
          <c:tx>
            <c:rich>
              <a:bodyPr rot="-5400000" vert="horz"/>
              <a:lstStyle/>
              <a:p>
                <a:pPr>
                  <a:defRPr/>
                </a:pPr>
                <a:r>
                  <a:rPr lang="en-US"/>
                  <a:t>Percentage</a:t>
                </a:r>
                <a:r>
                  <a:rPr lang="en-US" baseline="0"/>
                  <a:t> Prevalence</a:t>
                </a:r>
                <a:endParaRPr lang="en-US"/>
              </a:p>
            </c:rich>
          </c:tx>
        </c:title>
        <c:numFmt formatCode="0%" sourceLinked="1"/>
        <c:tickLblPos val="nextTo"/>
        <c:crossAx val="84826368"/>
        <c:crosses val="autoZero"/>
        <c:crossBetween val="between"/>
      </c:valAx>
    </c:plotArea>
    <c:legend>
      <c:legendPos val="r"/>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Prevalent Medication</a:t>
            </a:r>
            <a:r>
              <a:rPr lang="en-US" baseline="0"/>
              <a:t> Groups Related to Medication Errors</a:t>
            </a:r>
            <a:endParaRPr lang="en-US"/>
          </a:p>
        </c:rich>
      </c:tx>
    </c:title>
    <c:plotArea>
      <c:layout/>
      <c:barChart>
        <c:barDir val="col"/>
        <c:grouping val="clustered"/>
        <c:ser>
          <c:idx val="0"/>
          <c:order val="0"/>
          <c:tx>
            <c:strRef>
              <c:f>Sheet1!$B$1</c:f>
              <c:strCache>
                <c:ptCount val="1"/>
                <c:pt idx="0">
                  <c:v>Column1</c:v>
                </c:pt>
              </c:strCache>
            </c:strRef>
          </c:tx>
          <c:cat>
            <c:strRef>
              <c:f>Sheet1!$A$2:$A$4</c:f>
              <c:strCache>
                <c:ptCount val="3"/>
                <c:pt idx="0">
                  <c:v>Lipid-reducing drugs</c:v>
                </c:pt>
                <c:pt idx="1">
                  <c:v>Antidepressants</c:v>
                </c:pt>
                <c:pt idx="2">
                  <c:v>Analgesics</c:v>
                </c:pt>
              </c:strCache>
            </c:strRef>
          </c:cat>
          <c:val>
            <c:numRef>
              <c:f>Sheet1!$B$2:$B$4</c:f>
              <c:numCache>
                <c:formatCode>0.00%</c:formatCode>
                <c:ptCount val="3"/>
                <c:pt idx="0">
                  <c:v>0.13400000000000001</c:v>
                </c:pt>
                <c:pt idx="1">
                  <c:v>0.10299999999999998</c:v>
                </c:pt>
                <c:pt idx="2">
                  <c:v>5.8000000000000003E-2</c:v>
                </c:pt>
              </c:numCache>
            </c:numRef>
          </c:val>
        </c:ser>
        <c:ser>
          <c:idx val="1"/>
          <c:order val="1"/>
          <c:tx>
            <c:strRef>
              <c:f>Sheet1!$C$1</c:f>
              <c:strCache>
                <c:ptCount val="1"/>
                <c:pt idx="0">
                  <c:v>Column2</c:v>
                </c:pt>
              </c:strCache>
            </c:strRef>
          </c:tx>
          <c:cat>
            <c:strRef>
              <c:f>Sheet1!$A$2:$A$4</c:f>
              <c:strCache>
                <c:ptCount val="3"/>
                <c:pt idx="0">
                  <c:v>Lipid-reducing drugs</c:v>
                </c:pt>
                <c:pt idx="1">
                  <c:v>Antidepressants</c:v>
                </c:pt>
                <c:pt idx="2">
                  <c:v>Analgesics</c:v>
                </c:pt>
              </c:strCache>
            </c:strRef>
          </c:cat>
          <c:val>
            <c:numRef>
              <c:f>Sheet1!$C$2:$C$4</c:f>
              <c:numCache>
                <c:formatCode>General</c:formatCode>
                <c:ptCount val="3"/>
              </c:numCache>
            </c:numRef>
          </c:val>
        </c:ser>
        <c:ser>
          <c:idx val="2"/>
          <c:order val="2"/>
          <c:tx>
            <c:strRef>
              <c:f>Sheet1!$D$1</c:f>
              <c:strCache>
                <c:ptCount val="1"/>
                <c:pt idx="0">
                  <c:v>Column3</c:v>
                </c:pt>
              </c:strCache>
            </c:strRef>
          </c:tx>
          <c:cat>
            <c:strRef>
              <c:f>Sheet1!$A$2:$A$4</c:f>
              <c:strCache>
                <c:ptCount val="3"/>
                <c:pt idx="0">
                  <c:v>Lipid-reducing drugs</c:v>
                </c:pt>
                <c:pt idx="1">
                  <c:v>Antidepressants</c:v>
                </c:pt>
                <c:pt idx="2">
                  <c:v>Analgesics</c:v>
                </c:pt>
              </c:strCache>
            </c:strRef>
          </c:cat>
          <c:val>
            <c:numRef>
              <c:f>Sheet1!$D$2:$D$4</c:f>
              <c:numCache>
                <c:formatCode>General</c:formatCode>
                <c:ptCount val="3"/>
              </c:numCache>
            </c:numRef>
          </c:val>
        </c:ser>
        <c:axId val="84948480"/>
        <c:axId val="84950016"/>
      </c:barChart>
      <c:catAx>
        <c:axId val="84948480"/>
        <c:scaling>
          <c:orientation val="minMax"/>
        </c:scaling>
        <c:axPos val="b"/>
        <c:numFmt formatCode="General" sourceLinked="0"/>
        <c:tickLblPos val="nextTo"/>
        <c:crossAx val="84950016"/>
        <c:crosses val="autoZero"/>
        <c:auto val="1"/>
        <c:lblAlgn val="ctr"/>
        <c:lblOffset val="100"/>
      </c:catAx>
      <c:valAx>
        <c:axId val="84950016"/>
        <c:scaling>
          <c:orientation val="minMax"/>
        </c:scaling>
        <c:axPos val="l"/>
        <c:majorGridlines/>
        <c:title>
          <c:tx>
            <c:rich>
              <a:bodyPr rot="-5400000" vert="horz"/>
              <a:lstStyle/>
              <a:p>
                <a:pPr>
                  <a:defRPr/>
                </a:pPr>
                <a:r>
                  <a:rPr lang="en-US"/>
                  <a:t>Percentage</a:t>
                </a:r>
                <a:r>
                  <a:rPr lang="en-US" baseline="0"/>
                  <a:t> prevalence</a:t>
                </a:r>
                <a:endParaRPr lang="en-US"/>
              </a:p>
            </c:rich>
          </c:tx>
        </c:title>
        <c:numFmt formatCode="0.00%" sourceLinked="1"/>
        <c:tickLblPos val="nextTo"/>
        <c:crossAx val="84948480"/>
        <c:crosses val="autoZero"/>
        <c:crossBetween val="between"/>
      </c:valAx>
    </c:plotArea>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plotArea>
      <c:layout/>
      <c:pieChart>
        <c:varyColors val="1"/>
        <c:ser>
          <c:idx val="0"/>
          <c:order val="0"/>
          <c:tx>
            <c:strRef>
              <c:f>Sheet1!$B$1</c:f>
              <c:strCache>
                <c:ptCount val="1"/>
                <c:pt idx="0">
                  <c:v>Prevalence of High-risk Drugs in the medication lists of patients</c:v>
                </c:pt>
              </c:strCache>
            </c:strRef>
          </c:tx>
          <c:dLbls>
            <c:spPr>
              <a:noFill/>
              <a:ln>
                <a:noFill/>
              </a:ln>
              <a:effectLst/>
            </c:spPr>
            <c:showVal val="1"/>
            <c:showLeaderLines val="1"/>
            <c:extLst>
              <c:ext xmlns:c15="http://schemas.microsoft.com/office/drawing/2012/chart" uri="{CE6537A1-D6FC-4f65-9D91-7224C49458BB}"/>
            </c:extLst>
          </c:dLbls>
          <c:cat>
            <c:strRef>
              <c:f>Sheet1!$A$2:$A$4</c:f>
              <c:strCache>
                <c:ptCount val="3"/>
                <c:pt idx="0">
                  <c:v>Warfarin</c:v>
                </c:pt>
                <c:pt idx="1">
                  <c:v>Hypoglycemic agents</c:v>
                </c:pt>
                <c:pt idx="2">
                  <c:v>Others</c:v>
                </c:pt>
              </c:strCache>
            </c:strRef>
          </c:cat>
          <c:val>
            <c:numRef>
              <c:f>Sheet1!$B$2:$B$4</c:f>
              <c:numCache>
                <c:formatCode>0.00%</c:formatCode>
                <c:ptCount val="3"/>
                <c:pt idx="0">
                  <c:v>0.37800000000000084</c:v>
                </c:pt>
                <c:pt idx="1">
                  <c:v>0.56200000000000061</c:v>
                </c:pt>
                <c:pt idx="2" formatCode="0%">
                  <c:v>6.0000000000000032E-2</c:v>
                </c:pt>
              </c:numCache>
            </c:numRef>
          </c:val>
        </c:ser>
        <c:firstSliceAng val="0"/>
      </c:pieChart>
    </c:plotArea>
    <c:legend>
      <c:legendPos val="r"/>
    </c:legend>
    <c:plotVisOnly val="1"/>
    <c:dispBlanksAs val="zero"/>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808E92-2CE4-4CA7-BF0C-8910F91C8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12808</Words>
  <Characters>73007</Characters>
  <Application>Microsoft Office Word</Application>
  <DocSecurity>0</DocSecurity>
  <Lines>608</Lines>
  <Paragraphs>171</Paragraphs>
  <ScaleCrop>false</ScaleCrop>
  <HeadingPairs>
    <vt:vector size="4" baseType="variant">
      <vt:variant>
        <vt:lpstr>Title</vt:lpstr>
      </vt:variant>
      <vt:variant>
        <vt:i4>1</vt:i4>
      </vt:variant>
      <vt:variant>
        <vt:lpstr>Headings</vt:lpstr>
      </vt:variant>
      <vt:variant>
        <vt:i4>34</vt:i4>
      </vt:variant>
    </vt:vector>
  </HeadingPairs>
  <TitlesOfParts>
    <vt:vector size="35" baseType="lpstr">
      <vt:lpstr/>
      <vt:lpstr>Abstract</vt:lpstr>
      <vt:lpstr>Abbreviations</vt:lpstr>
      <vt:lpstr>Definitions</vt:lpstr>
      <vt:lpstr/>
      <vt:lpstr>Introduction</vt:lpstr>
      <vt:lpstr>Prevalence of Inaccurate Patient Medication History</vt:lpstr>
      <vt:lpstr>Impact of Inaccurate Patient Medication History</vt:lpstr>
      <vt:lpstr>    Solution to Erroneous Medical History</vt:lpstr>
      <vt:lpstr>        Steps in the Patient Interview</vt:lpstr>
      <vt:lpstr>        Patient Medication List</vt:lpstr>
      <vt:lpstr>        Physical Inspection of patient own medication</vt:lpstr>
      <vt:lpstr>        Patient-Related Causes</vt:lpstr>
      <vt:lpstr>        Medications Related Causes</vt:lpstr>
      <vt:lpstr>        Professional Care Provider Related Causes</vt:lpstr>
      <vt:lpstr>        Medication Lists in Electronic Medical Records</vt:lpstr>
      <vt:lpstr>        Communication System</vt:lpstr>
      <vt:lpstr>The objective of the Study</vt:lpstr>
      <vt:lpstr>Aim of the study</vt:lpstr>
      <vt:lpstr>Research Methods</vt:lpstr>
      <vt:lpstr>    Research Design and Approach</vt:lpstr>
      <vt:lpstr>    Setting and Population of the Study</vt:lpstr>
      <vt:lpstr>    Data Collection</vt:lpstr>
      <vt:lpstr>    Study Variables</vt:lpstr>
      <vt:lpstr>    Statistical Analysis</vt:lpstr>
      <vt:lpstr>Results</vt:lpstr>
      <vt:lpstr>    Description of the Study Sample</vt:lpstr>
      <vt:lpstr>    Logistic Regression Results for Risk Factors</vt:lpstr>
      <vt:lpstr>    </vt:lpstr>
      <vt:lpstr>    Discussion</vt:lpstr>
      <vt:lpstr>    Limitations of the Study</vt:lpstr>
      <vt:lpstr>    Conclusions</vt:lpstr>
      <vt:lpstr>References</vt:lpstr>
      <vt:lpstr>Appendices</vt:lpstr>
      <vt:lpstr/>
    </vt:vector>
  </TitlesOfParts>
  <Company/>
  <LinksUpToDate>false</LinksUpToDate>
  <CharactersWithSpaces>85644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dan</cp:lastModifiedBy>
  <cp:revision>2</cp:revision>
  <dcterms:created xsi:type="dcterms:W3CDTF">2019-08-08T12:22:00Z</dcterms:created>
  <dcterms:modified xsi:type="dcterms:W3CDTF">2019-08-08T12:22:00Z</dcterms:modified>
</cp:coreProperties>
</file>